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A" w:rsidRDefault="004D3A48" w:rsidP="0051323A">
      <w:pPr>
        <w:tabs>
          <w:tab w:val="left" w:pos="7545"/>
        </w:tabs>
        <w:spacing w:before="100" w:beforeAutospacing="1" w:after="100" w:afterAutospacing="1" w:line="240" w:lineRule="auto"/>
        <w:rPr>
          <w:b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990"/>
        <w:gridCol w:w="222"/>
        <w:gridCol w:w="222"/>
      </w:tblGrid>
      <w:tr w:rsidR="0051323A" w:rsidTr="00B27AE3">
        <w:tc>
          <w:tcPr>
            <w:tcW w:w="3828" w:type="dxa"/>
            <w:vAlign w:val="center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3828"/>
              <w:gridCol w:w="3118"/>
              <w:gridCol w:w="3828"/>
            </w:tblGrid>
            <w:tr w:rsidR="0051323A" w:rsidRPr="00146CB4" w:rsidTr="00B27AE3">
              <w:tc>
                <w:tcPr>
                  <w:tcW w:w="3828" w:type="dxa"/>
                  <w:shd w:val="clear" w:color="auto" w:fill="auto"/>
                  <w:vAlign w:val="center"/>
                </w:tcPr>
                <w:p w:rsidR="0051323A" w:rsidRPr="00146CB4" w:rsidRDefault="0051323A" w:rsidP="00B27AE3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51323A" w:rsidRPr="00146CB4" w:rsidRDefault="0051323A" w:rsidP="00B27AE3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 wp14:anchorId="3B16361A" wp14:editId="5E2646A8">
                        <wp:extent cx="1095375" cy="10953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:rsidR="0051323A" w:rsidRPr="00146CB4" w:rsidRDefault="0051323A" w:rsidP="00B27AE3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</w:tbl>
          <w:p w:rsidR="0051323A" w:rsidRDefault="0051323A" w:rsidP="00B27AE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</w:tcPr>
          <w:p w:rsidR="0051323A" w:rsidRDefault="0051323A" w:rsidP="00B27AE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1323A" w:rsidRPr="00DA6626" w:rsidRDefault="0051323A" w:rsidP="00B27AE3">
            <w:pPr>
              <w:jc w:val="right"/>
              <w:rPr>
                <w:bCs/>
                <w:sz w:val="28"/>
              </w:rPr>
            </w:pPr>
          </w:p>
        </w:tc>
      </w:tr>
    </w:tbl>
    <w:p w:rsidR="0051323A" w:rsidRPr="00BD608C" w:rsidRDefault="0051323A" w:rsidP="0051323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08C">
        <w:rPr>
          <w:rFonts w:ascii="Times New Roman" w:hAnsi="Times New Roman" w:cs="Times New Roman"/>
          <w:b/>
          <w:sz w:val="32"/>
          <w:szCs w:val="32"/>
        </w:rPr>
        <w:t>РЕСПУБЛИКА СЕВЕРНАЯ ОСЕТИЯ-АЛАНИЯ</w:t>
      </w:r>
    </w:p>
    <w:p w:rsidR="0051323A" w:rsidRPr="00BD608C" w:rsidRDefault="0051323A" w:rsidP="0051323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08C">
        <w:rPr>
          <w:rFonts w:ascii="Times New Roman" w:hAnsi="Times New Roman" w:cs="Times New Roman"/>
          <w:b/>
          <w:sz w:val="32"/>
          <w:szCs w:val="32"/>
        </w:rPr>
        <w:t>СОБРАНИЕ ПРЕДСТАВИТЕЛЕЙ ДИГОРСКОГО РАЙОНА</w:t>
      </w:r>
    </w:p>
    <w:p w:rsidR="0051323A" w:rsidRPr="00BD608C" w:rsidRDefault="0051323A" w:rsidP="0051323A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23A" w:rsidRPr="00BD608C" w:rsidRDefault="0051323A" w:rsidP="0051323A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23A" w:rsidRPr="00BD608C" w:rsidRDefault="0051323A" w:rsidP="0051323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D608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D608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1323A" w:rsidRPr="00BD608C" w:rsidRDefault="0051323A" w:rsidP="005132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3154"/>
        <w:gridCol w:w="3143"/>
        <w:gridCol w:w="3155"/>
      </w:tblGrid>
      <w:tr w:rsidR="0051323A" w:rsidRPr="00BD608C" w:rsidTr="00B27AE3">
        <w:trPr>
          <w:trHeight w:val="456"/>
        </w:trPr>
        <w:tc>
          <w:tcPr>
            <w:tcW w:w="3154" w:type="dxa"/>
          </w:tcPr>
          <w:p w:rsidR="0051323A" w:rsidRPr="00BD608C" w:rsidRDefault="0051323A" w:rsidP="00B27A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6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608C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D608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0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3" w:type="dxa"/>
          </w:tcPr>
          <w:p w:rsidR="0051323A" w:rsidRPr="00BD608C" w:rsidRDefault="0051323A" w:rsidP="0051323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608C"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3155" w:type="dxa"/>
          </w:tcPr>
          <w:p w:rsidR="0051323A" w:rsidRPr="00BD608C" w:rsidRDefault="0051323A" w:rsidP="00B27AE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608C">
              <w:rPr>
                <w:rFonts w:ascii="Times New Roman" w:hAnsi="Times New Roman" w:cs="Times New Roman"/>
                <w:sz w:val="28"/>
                <w:szCs w:val="28"/>
              </w:rPr>
              <w:t>г. Дигора</w:t>
            </w:r>
          </w:p>
        </w:tc>
      </w:tr>
    </w:tbl>
    <w:p w:rsidR="004D3A48" w:rsidRPr="00425C4D" w:rsidRDefault="004D3A48" w:rsidP="004D3A4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51323A" w:rsidRPr="0051323A" w:rsidRDefault="004D3A48" w:rsidP="0051323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23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1323A" w:rsidRPr="0051323A">
        <w:rPr>
          <w:rFonts w:ascii="Times New Roman" w:eastAsia="Times New Roman" w:hAnsi="Times New Roman" w:cs="Times New Roman"/>
          <w:b/>
          <w:sz w:val="28"/>
          <w:szCs w:val="28"/>
        </w:rPr>
        <w:t>б утверждении новой редакции Положения</w:t>
      </w:r>
    </w:p>
    <w:p w:rsidR="004D3A48" w:rsidRPr="0051323A" w:rsidRDefault="0051323A" w:rsidP="0051323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23A">
        <w:rPr>
          <w:rFonts w:ascii="Times New Roman" w:eastAsia="Times New Roman" w:hAnsi="Times New Roman" w:cs="Times New Roman"/>
          <w:b/>
          <w:sz w:val="28"/>
          <w:szCs w:val="28"/>
        </w:rPr>
        <w:t>о Собрании представителей Дигорского района</w:t>
      </w:r>
      <w:r w:rsidR="004D3A48" w:rsidRPr="005132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3A48" w:rsidRPr="00425C4D" w:rsidRDefault="004D3A48" w:rsidP="004D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A48" w:rsidRPr="0051323A" w:rsidRDefault="004D3A48" w:rsidP="005132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3A">
        <w:rPr>
          <w:rFonts w:ascii="Times New Roman" w:eastAsia="Times New Roman" w:hAnsi="Times New Roman" w:cs="Times New Roman"/>
          <w:sz w:val="28"/>
          <w:szCs w:val="28"/>
        </w:rPr>
        <w:t>Рассмотрев и обсудив проект решения об утверждении новой редакции Положения Собрания представителей Дигорского района, Собрание представителей Дигорского  района</w:t>
      </w:r>
      <w:r w:rsidR="00823153" w:rsidRPr="0051323A">
        <w:rPr>
          <w:rFonts w:ascii="Times New Roman" w:eastAsia="Times New Roman" w:hAnsi="Times New Roman" w:cs="Times New Roman"/>
          <w:sz w:val="28"/>
          <w:szCs w:val="28"/>
        </w:rPr>
        <w:t xml:space="preserve"> решило</w:t>
      </w:r>
      <w:r w:rsidRPr="005132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3A48" w:rsidRPr="0051323A" w:rsidRDefault="004D3A48" w:rsidP="004D3A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3A">
        <w:rPr>
          <w:rFonts w:ascii="Times New Roman" w:eastAsia="Times New Roman" w:hAnsi="Times New Roman" w:cs="Times New Roman"/>
          <w:sz w:val="28"/>
          <w:szCs w:val="28"/>
        </w:rPr>
        <w:t>Утвердить Положение о Собрании представителей Дигорского района (приложение).</w:t>
      </w:r>
    </w:p>
    <w:p w:rsidR="004D3A48" w:rsidRPr="0051323A" w:rsidRDefault="004D3A48" w:rsidP="004D3A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3A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решение Собрания представителей Дигорского района №  26-139-4 от 28 сентября 2010 г. </w:t>
      </w:r>
    </w:p>
    <w:p w:rsidR="004D3A48" w:rsidRPr="0051323A" w:rsidRDefault="000A5B04" w:rsidP="004D3A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3A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4D3A48" w:rsidRPr="0051323A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подписания.</w:t>
      </w:r>
    </w:p>
    <w:p w:rsidR="004D3A48" w:rsidRPr="0093786D" w:rsidRDefault="004D3A48" w:rsidP="004D3A48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D3A48" w:rsidRDefault="004D3A48" w:rsidP="004D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091" w:rsidRDefault="008D5091" w:rsidP="004D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23A" w:rsidRPr="00BD608C" w:rsidRDefault="004D3A48" w:rsidP="0051323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25C4D">
        <w:rPr>
          <w:rFonts w:ascii="Times New Roman" w:eastAsia="Times New Roman" w:hAnsi="Times New Roman" w:cs="Times New Roman"/>
          <w:sz w:val="24"/>
          <w:szCs w:val="24"/>
        </w:rPr>
        <w:br/>
      </w:r>
      <w:r w:rsidR="0051323A" w:rsidRPr="00BD608C">
        <w:rPr>
          <w:rFonts w:ascii="Times New Roman" w:hAnsi="Times New Roman" w:cs="Times New Roman"/>
          <w:b/>
          <w:sz w:val="28"/>
          <w:szCs w:val="28"/>
        </w:rPr>
        <w:t>Глава Дигорского района-</w:t>
      </w:r>
    </w:p>
    <w:p w:rsidR="0051323A" w:rsidRPr="00BD608C" w:rsidRDefault="0051323A" w:rsidP="0051323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D608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608C">
        <w:rPr>
          <w:rFonts w:ascii="Times New Roman" w:hAnsi="Times New Roman" w:cs="Times New Roman"/>
          <w:b/>
          <w:sz w:val="28"/>
          <w:szCs w:val="28"/>
        </w:rPr>
        <w:t xml:space="preserve">         К.В. Марзоев </w:t>
      </w:r>
    </w:p>
    <w:p w:rsidR="000B5C6E" w:rsidRDefault="000B5C6E" w:rsidP="00513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23A" w:rsidRDefault="0051323A" w:rsidP="000B5C6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</w:rPr>
      </w:pPr>
    </w:p>
    <w:p w:rsidR="0051323A" w:rsidRDefault="0051323A" w:rsidP="000B5C6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</w:rPr>
      </w:pPr>
    </w:p>
    <w:p w:rsidR="0051323A" w:rsidRDefault="0051323A" w:rsidP="000B5C6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</w:rPr>
      </w:pPr>
    </w:p>
    <w:p w:rsidR="0051323A" w:rsidRDefault="0051323A" w:rsidP="000B5C6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</w:rPr>
      </w:pPr>
    </w:p>
    <w:p w:rsidR="0051323A" w:rsidRDefault="0051323A" w:rsidP="000B5C6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</w:rPr>
      </w:pPr>
    </w:p>
    <w:p w:rsidR="0051323A" w:rsidRDefault="0051323A" w:rsidP="0051323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1323A" w:rsidRDefault="0051323A" w:rsidP="0051323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51323A" w:rsidRDefault="0051323A" w:rsidP="0051323A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Дигорского района от 19.07.2012 г. №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</w:t>
      </w:r>
      <w:r w:rsidRPr="00BD608C">
        <w:rPr>
          <w:rFonts w:ascii="Times New Roman" w:hAnsi="Times New Roman" w:cs="Times New Roman"/>
        </w:rPr>
        <w:t>-6-5</w:t>
      </w:r>
    </w:p>
    <w:p w:rsidR="000B5C6E" w:rsidRDefault="000B5C6E" w:rsidP="000B5C6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</w:rPr>
      </w:pPr>
    </w:p>
    <w:p w:rsidR="000B5C6E" w:rsidRPr="00B534F6" w:rsidRDefault="000B5C6E" w:rsidP="000B5C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4F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B5C6E" w:rsidRPr="00B534F6" w:rsidRDefault="000B5C6E" w:rsidP="00B53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4F6">
        <w:rPr>
          <w:rFonts w:ascii="Times New Roman" w:eastAsia="Times New Roman" w:hAnsi="Times New Roman" w:cs="Times New Roman"/>
          <w:b/>
          <w:bCs/>
          <w:sz w:val="28"/>
          <w:szCs w:val="28"/>
        </w:rPr>
        <w:t>О СОБРАНИИ ПРЕДСТАВИТЕЛЕЙ</w:t>
      </w:r>
      <w:r w:rsidR="00B53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34F6">
        <w:rPr>
          <w:rFonts w:ascii="Times New Roman" w:eastAsia="Times New Roman" w:hAnsi="Times New Roman" w:cs="Times New Roman"/>
          <w:b/>
          <w:bCs/>
          <w:sz w:val="28"/>
          <w:szCs w:val="28"/>
        </w:rPr>
        <w:t>ДИГОРСКОГО РАЙОНА</w:t>
      </w:r>
    </w:p>
    <w:p w:rsidR="000B5C6E" w:rsidRDefault="000B5C6E" w:rsidP="000B5C6E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</w:p>
    <w:p w:rsidR="000B5C6E" w:rsidRPr="00B534F6" w:rsidRDefault="000B5C6E" w:rsidP="000B5C6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B534F6">
        <w:rPr>
          <w:rFonts w:ascii="Times New Roman" w:eastAsia="Times New Roman" w:hAnsi="Times New Roman" w:cs="Arial"/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B534F6">
          <w:rPr>
            <w:rStyle w:val="a6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Конституцией</w:t>
        </w:r>
      </w:hyperlink>
      <w:r w:rsidRPr="00B534F6">
        <w:rPr>
          <w:rFonts w:ascii="Times New Roman" w:eastAsia="Times New Roman" w:hAnsi="Times New Roman" w:cs="Arial"/>
          <w:sz w:val="24"/>
          <w:szCs w:val="24"/>
        </w:rPr>
        <w:t xml:space="preserve"> Российской Федерации, </w:t>
      </w:r>
      <w:hyperlink r:id="rId8" w:history="1">
        <w:r w:rsidRPr="00B534F6">
          <w:rPr>
            <w:rStyle w:val="a6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B534F6">
        <w:rPr>
          <w:rFonts w:ascii="Times New Roman" w:eastAsia="Times New Roman" w:hAnsi="Times New Roman" w:cs="Arial"/>
          <w:sz w:val="24"/>
          <w:szCs w:val="24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9" w:history="1">
        <w:r w:rsidRPr="00B534F6">
          <w:rPr>
            <w:rStyle w:val="a6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B534F6">
        <w:rPr>
          <w:rFonts w:ascii="Times New Roman" w:eastAsia="Times New Roman" w:hAnsi="Times New Roman" w:cs="Arial"/>
          <w:sz w:val="24"/>
          <w:szCs w:val="24"/>
        </w:rPr>
        <w:t xml:space="preserve"> от 06.10.1999 N 184-ФЗ (ред. </w:t>
      </w:r>
      <w:hyperlink r:id="rId10" w:anchor="2" w:history="1">
        <w:r w:rsidRPr="00B534F6">
          <w:rPr>
            <w:rStyle w:val="a6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от 30.11.2011</w:t>
        </w:r>
      </w:hyperlink>
      <w:r w:rsidRPr="00B534F6">
        <w:rPr>
          <w:rFonts w:ascii="Times New Roman" w:eastAsia="Times New Roman" w:hAnsi="Times New Roman" w:cs="Arial"/>
          <w:sz w:val="24"/>
          <w:szCs w:val="24"/>
        </w:rPr>
        <w:t xml:space="preserve">)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1" w:history="1">
        <w:r w:rsidRPr="00B534F6">
          <w:rPr>
            <w:rStyle w:val="a6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Конституцией</w:t>
        </w:r>
      </w:hyperlink>
      <w:r w:rsidRPr="00B534F6">
        <w:rPr>
          <w:rFonts w:ascii="Times New Roman" w:eastAsia="Times New Roman" w:hAnsi="Times New Roman" w:cs="Arial"/>
          <w:sz w:val="24"/>
          <w:szCs w:val="24"/>
        </w:rPr>
        <w:t xml:space="preserve"> Республики Северная Осетия-Алания, </w:t>
      </w:r>
      <w:hyperlink r:id="rId12" w:history="1">
        <w:r w:rsidRPr="00B534F6">
          <w:rPr>
            <w:rStyle w:val="a6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Законом</w:t>
        </w:r>
      </w:hyperlink>
      <w:r w:rsidRPr="00B534F6">
        <w:rPr>
          <w:rFonts w:ascii="Times New Roman" w:eastAsia="Times New Roman" w:hAnsi="Times New Roman" w:cs="Arial"/>
          <w:sz w:val="24"/>
          <w:szCs w:val="24"/>
        </w:rPr>
        <w:t xml:space="preserve"> Республики Северная Осетия-Алания от 25 апреля 2006</w:t>
      </w:r>
      <w:proofErr w:type="gramEnd"/>
      <w:r w:rsidRPr="00B534F6">
        <w:rPr>
          <w:rFonts w:ascii="Times New Roman" w:eastAsia="Times New Roman" w:hAnsi="Times New Roman" w:cs="Arial"/>
          <w:sz w:val="24"/>
          <w:szCs w:val="24"/>
        </w:rPr>
        <w:t xml:space="preserve"> года N 24-РЗ "О местном самоуправлении в Республике Северная Осетия-Алания", </w:t>
      </w:r>
      <w:hyperlink r:id="rId13" w:history="1">
        <w:r w:rsidRPr="00B534F6">
          <w:rPr>
            <w:rStyle w:val="a6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Уставом</w:t>
        </w:r>
      </w:hyperlink>
      <w:r w:rsidRPr="00B534F6">
        <w:rPr>
          <w:rFonts w:ascii="Times New Roman" w:eastAsia="Times New Roman" w:hAnsi="Times New Roman" w:cs="Arial"/>
          <w:sz w:val="24"/>
          <w:szCs w:val="24"/>
        </w:rPr>
        <w:t xml:space="preserve"> Дигорского района, Регламентом Собрания представителей Дигорского района и устанавливает основы организации и деятельности Собрания представителей Дигорского района РСО-Алания.</w:t>
      </w:r>
    </w:p>
    <w:p w:rsidR="000B5C6E" w:rsidRPr="00B534F6" w:rsidRDefault="00B534F6" w:rsidP="00B534F6">
      <w:pPr>
        <w:tabs>
          <w:tab w:val="left" w:pos="99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534F6" w:rsidRPr="00B534F6" w:rsidRDefault="00B534F6" w:rsidP="00B534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534F6">
        <w:rPr>
          <w:rFonts w:ascii="Times New Roman" w:hAnsi="Times New Roman" w:cs="Times New Roman"/>
          <w:sz w:val="24"/>
          <w:szCs w:val="24"/>
        </w:rPr>
        <w:t xml:space="preserve">1.1. </w:t>
      </w:r>
      <w:r w:rsidR="000B5C6E" w:rsidRPr="00B534F6">
        <w:rPr>
          <w:rFonts w:ascii="Times New Roman" w:hAnsi="Times New Roman" w:cs="Times New Roman"/>
          <w:sz w:val="24"/>
          <w:szCs w:val="24"/>
        </w:rPr>
        <w:t xml:space="preserve">Собрание представителей Дигорского района РСО-Алания (далее - Собрание представителей) является представительным органом Дигорского района.  Собрание       представителей формируется в соответствии с Уставом Дигорского района зарегистрированного Управлением Министерства юстиции Российской Федерации по Республике Северная Осетия-Алания от 07.06.2010г. регистрационный номер </w:t>
      </w:r>
      <w:r w:rsidR="000B5C6E" w:rsidRPr="00B534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B5C6E" w:rsidRPr="00B534F6">
        <w:rPr>
          <w:rFonts w:ascii="Times New Roman" w:hAnsi="Times New Roman" w:cs="Times New Roman"/>
          <w:sz w:val="24"/>
          <w:szCs w:val="24"/>
        </w:rPr>
        <w:t xml:space="preserve"> 155030002010001.</w:t>
      </w:r>
    </w:p>
    <w:p w:rsidR="00B534F6" w:rsidRPr="00B534F6" w:rsidRDefault="000B5C6E" w:rsidP="00B534F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4F6">
        <w:rPr>
          <w:rFonts w:ascii="Times New Roman" w:hAnsi="Times New Roman" w:cs="Times New Roman"/>
          <w:sz w:val="24"/>
          <w:szCs w:val="24"/>
        </w:rPr>
        <w:t>1.2.</w:t>
      </w:r>
      <w:r w:rsidR="00B534F6">
        <w:rPr>
          <w:rFonts w:ascii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B534F6">
        <w:rPr>
          <w:rFonts w:ascii="Times New Roman" w:hAnsi="Times New Roman" w:cs="Times New Roman"/>
          <w:color w:val="000000"/>
          <w:sz w:val="24"/>
          <w:szCs w:val="24"/>
        </w:rPr>
        <w:t>обладает правом представлять интересы населения и принимать от его имени решения, действующие на территории Дигорского района.</w:t>
      </w:r>
    </w:p>
    <w:p w:rsidR="00B534F6" w:rsidRPr="00B534F6" w:rsidRDefault="000B5C6E" w:rsidP="00B534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B5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eastAsia="Times New Roman" w:hAnsi="Times New Roman" w:cs="Times New Roman"/>
          <w:sz w:val="24"/>
          <w:szCs w:val="24"/>
        </w:rPr>
        <w:t>Численность депутатов Собрания представителей установлена Уставом Дигорского района и составляет двадцать два депутата.</w:t>
      </w:r>
    </w:p>
    <w:p w:rsidR="000B5C6E" w:rsidRPr="00B534F6" w:rsidRDefault="000B5C6E" w:rsidP="00B534F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Состав, срок полномочий и порядок формирования Собрания представителей Дигорского района, его компетенция и порядок взаимодействия с органами и должностными лицами местного самоуправления Дигорского района установлены Законодательством Российской Федерации и РСО-Алания, </w:t>
      </w:r>
      <w:hyperlink r:id="rId14" w:history="1">
        <w:r w:rsidRPr="00B534F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B53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Дигорского района, настоящим Положением и Регламентом Собрания представителей Дигорского района.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B5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eastAsia="Times New Roman" w:hAnsi="Times New Roman" w:cs="Times New Roman"/>
          <w:sz w:val="24"/>
          <w:szCs w:val="24"/>
        </w:rPr>
        <w:t>Выборы депутатов Собрания представителей назначаются Собранием представителей в соответствии с Уставом Дигорского района.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203"/>
      <w:bookmarkEnd w:id="0"/>
      <w:r w:rsidRPr="00B534F6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B5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eastAsia="Times New Roman" w:hAnsi="Times New Roman" w:cs="Times New Roman"/>
          <w:sz w:val="24"/>
          <w:szCs w:val="24"/>
        </w:rPr>
        <w:t>Порядок проведения выборов определяется действующим законодательством.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204"/>
      <w:bookmarkEnd w:id="1"/>
      <w:r w:rsidRPr="00B534F6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B5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eastAsia="Times New Roman" w:hAnsi="Times New Roman" w:cs="Times New Roman"/>
          <w:sz w:val="24"/>
          <w:szCs w:val="24"/>
        </w:rPr>
        <w:t>Полномочия Собрания представителей, избранного в соответствии с действующим законодательством, прекращаются с момента начала работы Собрания представителей нового созыва, либо с момента досрочного прекращения его полномочий в соответствии с действующим законодательством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B5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eastAsia="Times New Roman" w:hAnsi="Times New Roman" w:cs="Times New Roman"/>
          <w:sz w:val="24"/>
          <w:szCs w:val="24"/>
        </w:rPr>
        <w:t>Собрание представителей обладает правами юридического лица, является муниципальным казенным учреждением, образованным для осуществления управленческих функций, подлежит государственной регистрации в качестве юридического лица в соответствии с федеральным законом. Собрание представителей имеет печать и штампы со своим наименованием, может иметь расчетные (текущие), валютные и иные счета в банках и фирменные бланки со своими реквизитами.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2"/>
      <w:bookmarkStart w:id="3" w:name="103"/>
      <w:bookmarkStart w:id="4" w:name="104"/>
      <w:bookmarkStart w:id="5" w:name="105"/>
      <w:bookmarkStart w:id="6" w:name="106"/>
      <w:bookmarkEnd w:id="2"/>
      <w:bookmarkEnd w:id="3"/>
      <w:bookmarkEnd w:id="4"/>
      <w:bookmarkEnd w:id="5"/>
      <w:bookmarkEnd w:id="6"/>
      <w:r w:rsidRPr="00B534F6">
        <w:rPr>
          <w:rFonts w:ascii="Times New Roman" w:eastAsia="Times New Roman" w:hAnsi="Times New Roman" w:cs="Times New Roman"/>
          <w:sz w:val="24"/>
          <w:szCs w:val="24"/>
        </w:rPr>
        <w:t>1.8. Собрание представителей осуществляет свои полномочия в соответствии с Конституцией Российской Федерации, федеральными конституционными законами, нормативными правовыми актами Президента Российской Федерации, Законами РСО-</w:t>
      </w:r>
      <w:r w:rsidRPr="00B534F6">
        <w:rPr>
          <w:rFonts w:ascii="Times New Roman" w:eastAsia="Times New Roman" w:hAnsi="Times New Roman" w:cs="Times New Roman"/>
          <w:sz w:val="24"/>
          <w:szCs w:val="24"/>
        </w:rPr>
        <w:lastRenderedPageBreak/>
        <w:t>Алания, нормативно правовыми актами РСО-Алания, Уставом Дигорского района, решениями Собрания представителей, настоящим Положением и Регламентом Собрания представителей.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Собрание представителей осуществляет свои полномочия в коллегиальном порядке.</w:t>
      </w:r>
    </w:p>
    <w:p w:rsidR="000B5C6E" w:rsidRPr="00B534F6" w:rsidRDefault="000B5C6E" w:rsidP="00B534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534F6">
        <w:rPr>
          <w:rFonts w:ascii="Times New Roman" w:hAnsi="Times New Roman" w:cs="Times New Roman"/>
          <w:sz w:val="24"/>
          <w:szCs w:val="24"/>
        </w:rPr>
        <w:t>1.9.</w:t>
      </w:r>
      <w:r w:rsidR="00B534F6">
        <w:rPr>
          <w:rFonts w:ascii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hAnsi="Times New Roman" w:cs="Times New Roman"/>
          <w:sz w:val="24"/>
          <w:szCs w:val="24"/>
        </w:rPr>
        <w:t>Место нахождения Собрания представителей: Республика Северная Осетия-Алания, г. Дигора, ул.</w:t>
      </w:r>
      <w:r w:rsidR="00B534F6">
        <w:rPr>
          <w:rFonts w:ascii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hAnsi="Times New Roman" w:cs="Times New Roman"/>
          <w:sz w:val="24"/>
          <w:szCs w:val="24"/>
        </w:rPr>
        <w:t>Сталина, 19.</w:t>
      </w:r>
    </w:p>
    <w:p w:rsidR="000B5C6E" w:rsidRPr="00B534F6" w:rsidRDefault="000B5C6E" w:rsidP="00B534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534F6">
        <w:rPr>
          <w:rFonts w:ascii="Times New Roman" w:hAnsi="Times New Roman" w:cs="Times New Roman"/>
          <w:sz w:val="24"/>
          <w:szCs w:val="24"/>
        </w:rPr>
        <w:t>1.10.</w:t>
      </w:r>
      <w:r w:rsidR="00B534F6">
        <w:rPr>
          <w:rFonts w:ascii="Times New Roman" w:hAnsi="Times New Roman" w:cs="Times New Roman"/>
          <w:sz w:val="24"/>
          <w:szCs w:val="24"/>
        </w:rPr>
        <w:t xml:space="preserve"> </w:t>
      </w:r>
      <w:r w:rsidRPr="00B534F6">
        <w:rPr>
          <w:rFonts w:ascii="Times New Roman" w:hAnsi="Times New Roman" w:cs="Times New Roman"/>
          <w:sz w:val="24"/>
          <w:szCs w:val="24"/>
        </w:rPr>
        <w:t>Полное  наименование: Собрание представителей Дигорского района РСО-Алания.                                                                                                                                   Сокращенное наименование: Собрание представителей Дигорского района.</w:t>
      </w:r>
    </w:p>
    <w:p w:rsidR="000B5C6E" w:rsidRPr="00B534F6" w:rsidRDefault="00B534F6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B5C6E" w:rsidRPr="00B534F6">
        <w:rPr>
          <w:rFonts w:ascii="Times New Roman" w:eastAsia="Times New Roman" w:hAnsi="Times New Roman" w:cs="Times New Roman"/>
          <w:sz w:val="24"/>
          <w:szCs w:val="24"/>
        </w:rPr>
        <w:t>.11. Основной деятельностью Собрания представителей является нормотворческая работа: разработка, рассмотрение и принятие нормативно правовых актов по вопросам, отнесенным к исключительному ведению и полномочиям Собрания представителей.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1.12. Деятельность Собрания представителей основывается на принципах коллективного, свободного и равноправного обсуждения и решения вопросов, отнесенных к его компетенции, законности, гласности и учета общественного мнения.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1.13. Взаимоотношения Собрания представителей с органами государственной власти, иными организациями строятся на основе федеральных и республиканских законов, Устава Дигорского района, договоров и соглашений.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1.14. Порядок внутренней организации и деятельности, основные правила и процедура работы Собрания представителей устанавливаются Регламентом Собрания представителей.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1.15. Решения Собрания представителей, входящие в компетенцию муниципального образования, обязательны для исполнения всеми расположенными на территории района предприятиями, учреждениями, организациями независимо от их организационно-правовых форм и форм собственности, а также органами местного самоуправления, выборными и другими должностными лицами и гражданами.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1.16. Предприятия, учреждения, организации независимо от их организационно-правовых форм и форм собственности, должностные лица и граждане несут ответственность за неисполнение или ненадлежащее исполнение решений Собрания представителей в соответствии с федеральными законами и законами РСО-Алания.</w:t>
      </w:r>
    </w:p>
    <w:p w:rsidR="000B5C6E" w:rsidRPr="00B534F6" w:rsidRDefault="000B5C6E" w:rsidP="00B53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534F6">
        <w:rPr>
          <w:rFonts w:ascii="Times New Roman" w:eastAsia="Times New Roman" w:hAnsi="Times New Roman" w:cs="Times New Roman"/>
          <w:b/>
          <w:sz w:val="24"/>
          <w:szCs w:val="24"/>
        </w:rPr>
        <w:t>Депутат Собрания представителей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2.1. Правовой статус и основные гарантии деятельности депутата Собрания представителей определяются Конституцией Российской Федерации, федеральными законами, Уставом Дигорского района, решениями Собрания представителей.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2.2. Депутаты Собрания представителей осуществляют свои полномочия, как на постоянной основе, так и на непостоянной основе.</w:t>
      </w:r>
    </w:p>
    <w:p w:rsidR="000B5C6E" w:rsidRPr="00B534F6" w:rsidRDefault="000B5C6E" w:rsidP="00B534F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На постоянной основе в Собрании представителей работают 10 (десять) процентов депутатов от установленной численности представительного органа муниципального образования.</w:t>
      </w:r>
    </w:p>
    <w:p w:rsidR="000B5C6E" w:rsidRPr="00B534F6" w:rsidRDefault="000B5C6E" w:rsidP="00B534F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Депутат Собрания представителей, работающий на постоянной основе, не может заниматься другой оплачиваемой деятельностью, кроме преподавательской, научной и иной творческой деятельностью.</w:t>
      </w:r>
    </w:p>
    <w:p w:rsidR="000B5C6E" w:rsidRPr="00B534F6" w:rsidRDefault="000B5C6E" w:rsidP="00B534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4F6">
        <w:rPr>
          <w:rFonts w:ascii="Times New Roman" w:eastAsia="Times New Roman" w:hAnsi="Times New Roman" w:cs="Times New Roman"/>
          <w:sz w:val="24"/>
          <w:szCs w:val="24"/>
        </w:rPr>
        <w:t>2.3. Депутат Собрания представителей при осуществлении депутатских полномочий не связан чьим-либо мнением, руководствуется интересами населения района,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Собрания представителей.</w:t>
      </w:r>
    </w:p>
    <w:p w:rsidR="000B5C6E" w:rsidRPr="00B84E52" w:rsidRDefault="000B5C6E" w:rsidP="000B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b/>
          <w:sz w:val="24"/>
          <w:szCs w:val="24"/>
        </w:rPr>
        <w:t>3. Должностные лица и</w:t>
      </w:r>
      <w:r w:rsidR="00B534F6" w:rsidRPr="00B84E52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органы Собрания представителей</w:t>
      </w:r>
    </w:p>
    <w:p w:rsidR="000B5C6E" w:rsidRDefault="000B5C6E" w:rsidP="00B53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5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Должностными лицами Собрания представителей являются:</w:t>
      </w:r>
    </w:p>
    <w:p w:rsidR="000B5C6E" w:rsidRPr="00B84E52" w:rsidRDefault="000B5C6E" w:rsidP="00B84E52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 Собрания представителей - Глава Дигорского района (далее по тексту «председатель Собрания»)</w:t>
      </w:r>
    </w:p>
    <w:p w:rsidR="000B5C6E" w:rsidRPr="00B84E52" w:rsidRDefault="000B5C6E" w:rsidP="00B84E52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Собрания представителей.</w:t>
      </w:r>
    </w:p>
    <w:p w:rsidR="000B5C6E" w:rsidRPr="00B84E52" w:rsidRDefault="000B5C6E" w:rsidP="00B84E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3.2</w:t>
      </w:r>
      <w:r w:rsidRPr="00B84E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4E52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осуществляет руководство подготовкой заседаний Собрания представителей и вопросов, вносимых на рассмотрение Собрания представителей;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созывает заседания Собрания представителей, доводит до сведения депутатов Собрания представителей время и место их проведения, а также проект повестки дня;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ведет заседания Собрания представителей;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оказывает содействие депутатам Собрания представителей в осуществлении ими своих полномочий, организует обеспечение их необходимой информацией;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принимает меры по обеспечению гласности и учету общественного мнения в работе Собрания представителей;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подписывает решения, протоколы заседаний и другие документы Собрания представителей;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организует прием граждан, рассмотрение их обращений, заявлений и жалоб;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координирует деятельность постоянных комиссий, депутатских групп;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открывает и закрывает расчетные и иные счета Собрания представителей в банках, в иных кредитных и казначейских учреждениях;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является распорядителем бюджетных средств по расходам, предусмотренным отдельной строкой в местном бюджете муниципального района на подготовку и проведение заседаний Собрания представителей, работу аппарата и его содержание, и по другим расходам, связанным с деятельностью Собрания представителей и депутатов;</w:t>
      </w:r>
    </w:p>
    <w:p w:rsidR="000B5C6E" w:rsidRPr="00B84E52" w:rsidRDefault="000B5C6E" w:rsidP="00B84E5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Уставом Дигорского района Республики Северная Осетия-Алания и Регламентом Собрания представителей.</w:t>
      </w:r>
    </w:p>
    <w:p w:rsidR="000B5C6E" w:rsidRPr="00B84E52" w:rsidRDefault="000B5C6E" w:rsidP="00B84E52">
      <w:pPr>
        <w:pStyle w:val="a8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3.3.</w:t>
      </w:r>
      <w:r w:rsidR="00B84E52">
        <w:rPr>
          <w:rFonts w:ascii="Times New Roman" w:hAnsi="Times New Roman" w:cs="Times New Roman"/>
          <w:sz w:val="24"/>
          <w:szCs w:val="24"/>
        </w:rPr>
        <w:t xml:space="preserve"> </w:t>
      </w:r>
      <w:r w:rsidRPr="00B84E52">
        <w:rPr>
          <w:rFonts w:ascii="Times New Roman" w:hAnsi="Times New Roman" w:cs="Times New Roman"/>
          <w:sz w:val="24"/>
          <w:szCs w:val="24"/>
        </w:rPr>
        <w:t>Заместитель председателя Собрания представителей:</w:t>
      </w:r>
    </w:p>
    <w:p w:rsidR="000B5C6E" w:rsidRPr="00B84E52" w:rsidRDefault="000B5C6E" w:rsidP="00B84E5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избирается из числа депутатов, на срок полномочий Собрания представителей Дигорского района, по представлению председателя Собрания представителей Дигорского района и осуществляет свою деятельность на постоянной основе;</w:t>
      </w:r>
    </w:p>
    <w:p w:rsidR="000B5C6E" w:rsidRPr="00B84E52" w:rsidRDefault="000B5C6E" w:rsidP="00B84E5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7011"/>
      <w:bookmarkStart w:id="8" w:name="7012"/>
      <w:bookmarkEnd w:id="7"/>
      <w:bookmarkEnd w:id="8"/>
      <w:r w:rsidRPr="00B84E52">
        <w:rPr>
          <w:rFonts w:ascii="Times New Roman" w:eastAsia="Times New Roman" w:hAnsi="Times New Roman" w:cs="Times New Roman"/>
          <w:sz w:val="24"/>
          <w:szCs w:val="24"/>
        </w:rPr>
        <w:t>исполняет обязанности председателя Собрания представителей в полном объеме во время его отсутствия;</w:t>
      </w:r>
    </w:p>
    <w:p w:rsidR="000B5C6E" w:rsidRPr="00B84E52" w:rsidRDefault="000B5C6E" w:rsidP="00B84E5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702"/>
      <w:bookmarkEnd w:id="9"/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84E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решений Собрания представителей Дигорского района и постоянных комиссий, своевременным рассмотрением и реализацией должностными лицами предложений и замечаний депутатов, высказанных на заседаниях Собрания представителей Дигорского района и обращений, поступивших в адрес Собрания представителей; </w:t>
      </w:r>
    </w:p>
    <w:p w:rsidR="000B5C6E" w:rsidRPr="00B84E52" w:rsidRDefault="000B5C6E" w:rsidP="00B84E5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выполняет иные функции, установленных Регламентом Собрания представителей Дигорского района;</w:t>
      </w:r>
    </w:p>
    <w:p w:rsidR="000B5C6E" w:rsidRPr="00B84E52" w:rsidRDefault="000B5C6E" w:rsidP="00B84E5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выполняет поручения председателя Собрания представителей Дигорского района.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3.4. К органам Собрания представителей относятся постоянные и временные комиссии, рабочие группы.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color w:val="000000"/>
          <w:sz w:val="24"/>
          <w:szCs w:val="24"/>
        </w:rPr>
        <w:t>3.5. Собрание представителей  на срок своих полномочий избирает из числа депутатов постоянные комиссии для предварительного рассмотрения и подготовки вопросов, находящихся в компетенции Собрания представителей Дигорского района, а также для содействия реализации решений Собрания представителей и осуществления контрольных полномочий.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902"/>
      <w:bookmarkEnd w:id="10"/>
      <w:r w:rsidRPr="00B84E52">
        <w:rPr>
          <w:rFonts w:ascii="Times New Roman" w:eastAsia="Times New Roman" w:hAnsi="Times New Roman" w:cs="Times New Roman"/>
          <w:color w:val="000000"/>
          <w:sz w:val="24"/>
          <w:szCs w:val="24"/>
        </w:rPr>
        <w:t>3.6. Перечень и численный состав постоянных комиссий определяются Регламентом Собрания представителей Дигорского района.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903"/>
      <w:bookmarkEnd w:id="11"/>
      <w:r w:rsidRPr="00B84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Порядок формирования, полномочия и организация деятельности постоянных комиссий определяются настоящим Положением, Регламентом Собрания представителей Дигорского </w:t>
      </w:r>
      <w:r w:rsidRPr="00B84E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района и Положением о постоянных комиссиях Собрания представителей Дигорского района.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904"/>
      <w:bookmarkEnd w:id="12"/>
      <w:r w:rsidRPr="00B84E52">
        <w:rPr>
          <w:rFonts w:ascii="Times New Roman" w:eastAsia="Times New Roman" w:hAnsi="Times New Roman" w:cs="Times New Roman"/>
          <w:color w:val="000000"/>
          <w:sz w:val="24"/>
          <w:szCs w:val="24"/>
        </w:rPr>
        <w:t>3.8. Собрание представителей Дигорского района может создавать временные комиссии, деятельность которых ограничена определенным сроком или конкретной задачей.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905"/>
      <w:bookmarkEnd w:id="13"/>
      <w:r w:rsidRPr="00B84E52">
        <w:rPr>
          <w:rFonts w:ascii="Times New Roman" w:eastAsia="Times New Roman" w:hAnsi="Times New Roman" w:cs="Times New Roman"/>
          <w:color w:val="000000"/>
          <w:sz w:val="24"/>
          <w:szCs w:val="24"/>
        </w:rPr>
        <w:t>3.9. Для участия в работе комиссий и иных органов Собрания представителей Дигорского района на договорной основе могут привлекаться эксперты и консультанты.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Постоянные комиссии являются основными органами Собрания представителей, образуемыми на срок полномочий Собрания представителей. 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Постоянные комиссии осуществляют свою деятельность в соответствии с Положением, утверждаемым решением Собрания представителей.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3.10. На первом заседании Собрания представителей избирается мандатная комиссия, которая осуществляет свои полномочия в соответствии с Положением, принятым Собранием представителей.</w:t>
      </w:r>
    </w:p>
    <w:p w:rsidR="000B5C6E" w:rsidRPr="00B84E52" w:rsidRDefault="000B5C6E" w:rsidP="00B84E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b/>
          <w:sz w:val="24"/>
          <w:szCs w:val="24"/>
        </w:rPr>
        <w:t>4. Пол</w:t>
      </w:r>
      <w:r w:rsidR="00B84E52" w:rsidRPr="00B84E52">
        <w:rPr>
          <w:rFonts w:ascii="Times New Roman" w:eastAsia="Times New Roman" w:hAnsi="Times New Roman" w:cs="Times New Roman"/>
          <w:b/>
          <w:sz w:val="24"/>
          <w:szCs w:val="24"/>
        </w:rPr>
        <w:t>номочия Собрания представителей</w:t>
      </w:r>
    </w:p>
    <w:p w:rsidR="00B84E52" w:rsidRDefault="00B84E52" w:rsidP="00B84E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C6E" w:rsidRDefault="00B84E52" w:rsidP="00B84E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Осуществление контроля</w:t>
      </w:r>
    </w:p>
    <w:p w:rsidR="00B84E52" w:rsidRPr="00B84E52" w:rsidRDefault="00B84E52" w:rsidP="00B84E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C6E" w:rsidRPr="00B84E52" w:rsidRDefault="000B5C6E" w:rsidP="00B84E5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4.1. Полномочия Собрания представителей определены федеральными законами, законами РСО-Алания и Уставом Дигорского района.</w:t>
      </w:r>
    </w:p>
    <w:p w:rsidR="000B5C6E" w:rsidRPr="00B84E52" w:rsidRDefault="000B5C6E" w:rsidP="00B84E52">
      <w:pPr>
        <w:pStyle w:val="a8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4.2.</w:t>
      </w:r>
      <w:r w:rsidR="00B84E52">
        <w:rPr>
          <w:rFonts w:ascii="Times New Roman" w:hAnsi="Times New Roman" w:cs="Times New Roman"/>
          <w:sz w:val="24"/>
          <w:szCs w:val="24"/>
        </w:rPr>
        <w:t xml:space="preserve"> </w:t>
      </w:r>
      <w:r w:rsidRPr="00B84E52">
        <w:rPr>
          <w:rFonts w:ascii="Times New Roman" w:hAnsi="Times New Roman" w:cs="Times New Roman"/>
          <w:sz w:val="24"/>
          <w:szCs w:val="24"/>
        </w:rPr>
        <w:t>В исключительной компетенции Собрания представителей находятся следующие вопросы:</w:t>
      </w:r>
    </w:p>
    <w:p w:rsidR="000B5C6E" w:rsidRPr="00B84E52" w:rsidRDefault="00B84E52" w:rsidP="00B84E5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Принятие </w:t>
      </w:r>
      <w:r w:rsidR="000B5C6E" w:rsidRPr="00B84E52">
        <w:rPr>
          <w:rFonts w:ascii="Times New Roman" w:hAnsi="Times New Roman" w:cs="Times New Roman"/>
          <w:sz w:val="24"/>
          <w:szCs w:val="24"/>
        </w:rPr>
        <w:t>Устава Дигорского района и внесение в него изменений и дополнений;</w:t>
      </w:r>
    </w:p>
    <w:p w:rsidR="000B5C6E" w:rsidRPr="00B84E52" w:rsidRDefault="000B5C6E" w:rsidP="00B84E5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2) Утверждение</w:t>
      </w:r>
      <w:r w:rsidR="00B84E52">
        <w:rPr>
          <w:rFonts w:ascii="Times New Roman" w:hAnsi="Times New Roman" w:cs="Times New Roman"/>
          <w:sz w:val="24"/>
          <w:szCs w:val="24"/>
        </w:rPr>
        <w:t xml:space="preserve"> </w:t>
      </w:r>
      <w:r w:rsidRPr="00B84E52">
        <w:rPr>
          <w:rFonts w:ascii="Times New Roman" w:hAnsi="Times New Roman" w:cs="Times New Roman"/>
          <w:sz w:val="24"/>
          <w:szCs w:val="24"/>
        </w:rPr>
        <w:t>местного бюджета и отчета о его исполнении;</w:t>
      </w:r>
    </w:p>
    <w:p w:rsidR="000B5C6E" w:rsidRPr="00B84E52" w:rsidRDefault="000B5C6E" w:rsidP="00B84E5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B5C6E" w:rsidRPr="00B84E52" w:rsidRDefault="000B5C6E" w:rsidP="00B84E5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4) Принятие программ и планов развития Дигорского района, утверждение отчетов об их исполнении;</w:t>
      </w:r>
    </w:p>
    <w:p w:rsidR="000B5C6E" w:rsidRPr="00B84E52" w:rsidRDefault="000B5C6E" w:rsidP="00B84E5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Дигорского района;</w:t>
      </w:r>
    </w:p>
    <w:p w:rsidR="000B5C6E" w:rsidRPr="00B84E52" w:rsidRDefault="00B84E52" w:rsidP="00B84E5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Определение </w:t>
      </w:r>
      <w:r w:rsidR="000B5C6E" w:rsidRPr="00B84E52">
        <w:rPr>
          <w:rFonts w:ascii="Times New Roman" w:hAnsi="Times New Roman" w:cs="Times New Roman"/>
          <w:sz w:val="24"/>
          <w:szCs w:val="24"/>
        </w:rPr>
        <w:t>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0B5C6E" w:rsidRPr="00B84E52" w:rsidRDefault="00B84E52" w:rsidP="00B84E5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Определение </w:t>
      </w:r>
      <w:r w:rsidR="000B5C6E" w:rsidRPr="00B84E52">
        <w:rPr>
          <w:rFonts w:ascii="Times New Roman" w:hAnsi="Times New Roman" w:cs="Times New Roman"/>
          <w:sz w:val="24"/>
          <w:szCs w:val="24"/>
        </w:rPr>
        <w:t>порядка участия Дигорского района в организациях межмуниципального сотрудничества;</w:t>
      </w:r>
    </w:p>
    <w:p w:rsidR="000B5C6E" w:rsidRPr="00B84E52" w:rsidRDefault="000B5C6E" w:rsidP="00B84E52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E52">
        <w:rPr>
          <w:rFonts w:ascii="Times New Roman" w:hAnsi="Times New Roman" w:cs="Times New Roman"/>
          <w:sz w:val="24"/>
          <w:szCs w:val="24"/>
        </w:rPr>
        <w:t>8) Определение порядка материально - технического и организационного обеспечения деятельности органов местного самоуправления;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4.3. Собрание представителей непосредственно и через свои органы осуществляет:</w:t>
      </w:r>
    </w:p>
    <w:p w:rsidR="000B5C6E" w:rsidRPr="00B84E52" w:rsidRDefault="000B5C6E" w:rsidP="00B84E52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E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B5C6E" w:rsidRPr="00B84E52" w:rsidRDefault="000B5C6E" w:rsidP="00B84E52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E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Собрания представителей.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4.4. Контроль осуществляется в следующих формах:</w:t>
      </w:r>
    </w:p>
    <w:p w:rsidR="000B5C6E" w:rsidRPr="00B84E52" w:rsidRDefault="000B5C6E" w:rsidP="00B84E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заслушивание отчета главы администрации Дигорского района в соотв</w:t>
      </w:r>
      <w:r w:rsidR="00B84E52" w:rsidRPr="00B84E52">
        <w:rPr>
          <w:rFonts w:ascii="Times New Roman" w:eastAsia="Times New Roman" w:hAnsi="Times New Roman" w:cs="Times New Roman"/>
          <w:sz w:val="24"/>
          <w:szCs w:val="24"/>
        </w:rPr>
        <w:t>етствии с Уставом</w:t>
      </w:r>
      <w:r w:rsidR="00B84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E52">
        <w:rPr>
          <w:rFonts w:ascii="Times New Roman" w:eastAsia="Times New Roman" w:hAnsi="Times New Roman" w:cs="Times New Roman"/>
          <w:sz w:val="24"/>
          <w:szCs w:val="24"/>
        </w:rPr>
        <w:t>Дигорского района, информации руководителей структурных подразделений  администрации района;</w:t>
      </w:r>
    </w:p>
    <w:p w:rsidR="000B5C6E" w:rsidRPr="00B84E52" w:rsidRDefault="000B5C6E" w:rsidP="00B84E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заслушивание информации о ходе исполнения решений Собрания представителей;</w:t>
      </w:r>
    </w:p>
    <w:p w:rsidR="000B5C6E" w:rsidRPr="00B84E52" w:rsidRDefault="000B5C6E" w:rsidP="00B84E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направление депутатских запросов;</w:t>
      </w:r>
    </w:p>
    <w:p w:rsidR="000B5C6E" w:rsidRPr="00B84E52" w:rsidRDefault="000B5C6E" w:rsidP="00B84E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проведение депутатских слушаний;</w:t>
      </w:r>
    </w:p>
    <w:p w:rsidR="000B5C6E" w:rsidRPr="00B84E52" w:rsidRDefault="00B84E52" w:rsidP="00B84E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B5C6E" w:rsidRPr="00B84E52">
        <w:rPr>
          <w:rFonts w:ascii="Times New Roman" w:eastAsia="Times New Roman" w:hAnsi="Times New Roman" w:cs="Times New Roman"/>
          <w:sz w:val="24"/>
          <w:szCs w:val="24"/>
        </w:rPr>
        <w:t>частие депутатов Собрания представителей в работе коллегиальных органов при   администрации Дигорского района;</w:t>
      </w:r>
    </w:p>
    <w:p w:rsidR="000B5C6E" w:rsidRPr="00B84E52" w:rsidRDefault="000B5C6E" w:rsidP="00B84E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других формах, не противоречащих действующему законодательству.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Собрание представителей возлагает осуществление </w:t>
      </w:r>
      <w:proofErr w:type="gramStart"/>
      <w:r w:rsidRPr="00B84E5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   Собрания   представителей   на   постоянную   комиссию   или   на   специально образованный временный орган. Собрание представителей вправе поручить осуществление </w:t>
      </w:r>
      <w:proofErr w:type="gramStart"/>
      <w:r w:rsidRPr="00B84E5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отдельных решений Собрания представителей должностным лицам Собрания представителей.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4.6. Финансовый контроль осуществляется Собранием представителей в соответствии с Бюджетным кодексом Российской Федерации, Положением о бюджетном процессе в Дигорском  районе.</w:t>
      </w:r>
    </w:p>
    <w:p w:rsidR="000B5C6E" w:rsidRPr="00B84E52" w:rsidRDefault="000B5C6E" w:rsidP="000B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b/>
          <w:sz w:val="24"/>
          <w:szCs w:val="24"/>
        </w:rPr>
        <w:t>5. Формы работы Собрания пред</w:t>
      </w:r>
      <w:r w:rsidR="00B84E52">
        <w:rPr>
          <w:rFonts w:ascii="Times New Roman" w:eastAsia="Times New Roman" w:hAnsi="Times New Roman" w:cs="Times New Roman"/>
          <w:b/>
          <w:sz w:val="24"/>
          <w:szCs w:val="24"/>
        </w:rPr>
        <w:t>ставителей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5.1. Основной организационной формой деятельности Собрания представителей являются его заседания, а также деятельность комиссий, рабочих групп Собрания представителей, депутатские слушания, встречи, отчеты перед избирателями и другие.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5.2. Заседания Собрания представителей могут быть очередными и внеочередными. Очередные заседания Собрания представителей проводятся не реже 1 раза в квартал.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5.3. Внеочередные заседания Собрания представителей проводятся по инициативе председателя Собрания, а в его отсутствие заместителя председателя Собрания. Внеочередные заседания также могут проводиться по письменному предложению не менее 1/3 от установленного числа депутатов Собрания представителей или не менее одного процента жителей района, обладающих избирательными правами.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Заявление о проведении внеочередного заседания Собрания представителей должно содержать перечень предлагаемых к рассмотрению вопросов и необходимые документы.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Если инициаторами проведения внеочередного заседания Собрания представителей являются жители района, к заявлению о проведении заседания Собрания представителей прилагаются подписные листы с подписями жителей района в количестве не менее одного процента от числа жителей района, обладающих избирательными правами.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Подписные листы должны содержать: фамилию, имя, отчество гражданина, дату его рождения, адрес места жительства, серию и номер паспорта или документа, его заменяющего, подпись и дату ее внесения.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Заявление от жителей с перечнем предлагаемых к рассмотрению на внеочередном заседании Собрания представителей вопросов, подписными листами и другими необходимыми документами направляются в Собрание представителей.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Собрание представителей осуществляет проверку сведений, указанных в подписных листах, на соответствие с данными об избирателях, а также публикует в печати информацию о результатах рассмотрения инициативы граждан о проведении внеочередного заседания.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Председатель Собрания в течение 15 дней рассматривает инициативу граждан и созывает внеочередное заседание Собрания представителей, либо принимает решение об отказе в проведении внеочередного заседания Собрания представителей в случае нарушения требований, установленных настоящим Положением.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Внесение жителями района на рассмотрение внеочередного заседания Собрания представителей, инициаторами проведения которого они выступают, проекта решения Собрания представителей производится в порядке, установленном Положением о правотворческой инициативе граждан.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5.4. Первое заседание Собрания представителей проводится не позднее месяца со дня избрания депутатов Собрания представителей.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5.5. Заседания Собрания представителей являются открытыми. На них приглашаются     представители    органов     государственной    власти    и    прокуратуры, представители политических и общественных организаций, средств массовой информации, а также иные лица по приглашению ответственного за подготовку проекта решения Собрания представителей, присутствие которых необходимо при обсуждении вопросов, вынесенных на рассмотрение Собрания представителей.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lastRenderedPageBreak/>
        <w:t>По решению Собрания представителей может быть проведено закрытое заседание, как в целом, так и его части. На закрытом заседании вправе присутствовать глава администрации Дигорского  района, прокурор, а также приглашенные Собранием представителей лица.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B84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случаях, по отдельным вопросам, по поручению Председателя Собрания, заседание Собрания представителей могут </w:t>
      </w:r>
      <w:proofErr w:type="gramStart"/>
      <w:r w:rsidRPr="00B84E5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 в форме поименного голосования депутатов и выражения своего мнения посредством голосования по конкретному вопросу.</w:t>
      </w:r>
    </w:p>
    <w:p w:rsidR="000B5C6E" w:rsidRPr="00B84E52" w:rsidRDefault="000B5C6E" w:rsidP="00B84E5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итоги голосования по отдельному вопросу оформляются в виде протокола заседания Собрания представителей. </w:t>
      </w:r>
    </w:p>
    <w:p w:rsidR="000B5C6E" w:rsidRPr="00B84E52" w:rsidRDefault="000B5C6E" w:rsidP="00B84E5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B84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E52">
        <w:rPr>
          <w:rFonts w:ascii="Times New Roman" w:eastAsia="Times New Roman" w:hAnsi="Times New Roman" w:cs="Times New Roman"/>
          <w:sz w:val="24"/>
          <w:szCs w:val="24"/>
        </w:rPr>
        <w:t>Порядок нумерации решений Собрания представителей Дигорского района:</w:t>
      </w:r>
    </w:p>
    <w:p w:rsidR="000B5C6E" w:rsidRPr="00B84E52" w:rsidRDefault="000B5C6E" w:rsidP="00B84E52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нумерация решений Собрания представителей Дигорского района состоит из трех цифр;</w:t>
      </w:r>
    </w:p>
    <w:p w:rsidR="000B5C6E" w:rsidRPr="00B84E52" w:rsidRDefault="000B5C6E" w:rsidP="00B84E52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каждое число отделяется от другого знаком тире;</w:t>
      </w:r>
    </w:p>
    <w:p w:rsidR="000B5C6E" w:rsidRPr="00B84E52" w:rsidRDefault="000B5C6E" w:rsidP="00B84E52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>первая цифра является порядковым номером решения Собрания представителей, которая на каждом заседании Собрания представителей Дигорского района начинается с 1;</w:t>
      </w:r>
    </w:p>
    <w:p w:rsidR="000B5C6E" w:rsidRPr="00B84E52" w:rsidRDefault="000B5C6E" w:rsidP="00B84E52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вторая цифра является порядковым номером заседания; </w:t>
      </w:r>
    </w:p>
    <w:p w:rsidR="000B5C6E" w:rsidRPr="00B84E52" w:rsidRDefault="000B5C6E" w:rsidP="00B84E52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sz w:val="24"/>
          <w:szCs w:val="24"/>
        </w:rPr>
        <w:t xml:space="preserve">третья цифра является порядковым номером созыва депутатов. </w:t>
      </w:r>
    </w:p>
    <w:p w:rsidR="000B5C6E" w:rsidRPr="00B84E52" w:rsidRDefault="000B5C6E" w:rsidP="000B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52">
        <w:rPr>
          <w:rFonts w:ascii="Times New Roman" w:eastAsia="Times New Roman" w:hAnsi="Times New Roman" w:cs="Times New Roman"/>
          <w:b/>
          <w:sz w:val="24"/>
          <w:szCs w:val="24"/>
        </w:rPr>
        <w:t>6. Гласность в</w:t>
      </w:r>
      <w:r w:rsidR="00B84E52" w:rsidRPr="00B84E5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работе Собрания представителей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6.1. Информация о порядке работы Собрания представителей, повестке очередного заседания Собрания представителей, принятых Собранием представителей решениях обнародуется в средствах массовой информации.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6.2. В целях обеспечения гласности в работе Собрания представителей, обеспечения жителей района достоверной и оперативной информацией о работе Собрания представителей и депутатов Собрания представителей на открытых заседаниях Собрания представителей имеют право присутствовать представители средств массовой информации по служебному удостоверению личности.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Они могут производить фотосъемку, записывать ход заседания на диктофон, пользоваться другими техническими средствами, не мешая при этом нормальному ходу заседания Собрания представителей.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6.3. Средства массовой информации несут ответственность за достоверность информации о заседаниях Собрания представителей в соответствии с законодательством Российской Федерации.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6.4. На заседании Собрания представителей могут присутствовать граждане, представители государственных органов, трудовых коллективов, организаций и общественных объединений, права и обязанности которых затрагиваются в вынесенном в повестку дня вопросе.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Указанным лицам на основании их письменной заявки, поданной на имя председателя Собрания, и с согласия Собрания представителей председательствующий на заседании предоставляет слово для выступления или дачи справки после выступления депутатов, если Собранием представителей не будет принят иной порядок.</w:t>
      </w:r>
    </w:p>
    <w:p w:rsidR="000B5C6E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      6.5. Присутствующие на заседании Собрания представителей представители средств массовой информации, государственных органов, трудовых коллективов, организаций, общественных объединений и граждане не вправе вмешиваться в работу Собрания представителей, обязаны соблюдать предусмотренные Регламентом Собрания представителей, подчиняться распоряжениям председателя, соблюдать порядок во время проведения заседаний Собрания представителей.</w:t>
      </w:r>
    </w:p>
    <w:p w:rsidR="007E0287" w:rsidRPr="007E0287" w:rsidRDefault="007E0287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287" w:rsidRDefault="007E0287" w:rsidP="007E0287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287" w:rsidRPr="007E0287" w:rsidRDefault="000B5C6E" w:rsidP="007E028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Правовые акты Собрания представителей,</w:t>
      </w:r>
    </w:p>
    <w:p w:rsidR="000B5C6E" w:rsidRDefault="007E0287" w:rsidP="007E028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B5C6E" w:rsidRPr="007E0287">
        <w:rPr>
          <w:rFonts w:ascii="Times New Roman" w:eastAsia="Times New Roman" w:hAnsi="Times New Roman" w:cs="Times New Roman"/>
          <w:b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C6E" w:rsidRPr="007E0287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кументы Собрания представителей</w:t>
      </w:r>
    </w:p>
    <w:p w:rsidR="007E0287" w:rsidRPr="007E0287" w:rsidRDefault="007E0287" w:rsidP="007E028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7.1. Собрание представителей принимает правовые акты в форме решений.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Собрание представителей путем голосования (открытым или тайным) в порядке, установленном Уставом Дигорского района и Регламентом Собрания представителей, принимает:</w:t>
      </w:r>
    </w:p>
    <w:p w:rsidR="000B5C6E" w:rsidRPr="007E0287" w:rsidRDefault="000B5C6E" w:rsidP="007E0287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решения по вопросам, отнесенным к его компетенции федеральными и республиканскими законами, Уставом Дигорского района, устанавливающие правила, обязательные для исполнения на территории района;</w:t>
      </w:r>
    </w:p>
    <w:p w:rsidR="000B5C6E" w:rsidRPr="007E0287" w:rsidRDefault="000B5C6E" w:rsidP="007E0287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решения по вопросам организации деятельности Собрания представителей, в том числе решения о принятии и направлении главе администрации Дигорского района нормативного правового акта (решения) для рассмотрения возможности выполнения решения.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502"/>
      <w:bookmarkEnd w:id="14"/>
      <w:r w:rsidRPr="007E0287">
        <w:rPr>
          <w:rFonts w:ascii="Times New Roman" w:eastAsia="Times New Roman" w:hAnsi="Times New Roman" w:cs="Times New Roman"/>
          <w:color w:val="000000"/>
          <w:sz w:val="24"/>
          <w:szCs w:val="24"/>
        </w:rPr>
        <w:t>7.2. Решения Собрания представителей принимаются коллегиально, большинством голосов от установленной численности депутатов Собрания представителей, если иное не предусмотрено Уставом Дигорского района, настоящим Положением и Регламентом Собрания представителей. По процедурным вопросам решение принимается большинством голосов депутатов, принявших участие в голосовании.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7.3. Решения Собрания представителей, затрагивающие права, свободы и обязанности человека и гражданина, подлежат официальному опубликованию (обнародованию) в установленном законодательством РФ порядке.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Решения Собрания представителей, подлежащие официальному опубликованию, вступают в силу после их опубликования.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Официальным изданием Собрания представителей является районная газета "Вести Дигории".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7.4. Собрание представителей вправе по вопросам, рассматриваемым Собранием представителей, принимать предложения, рекомендации, призывы и т.п., адресуемые конкретным лицам и/или органам, а также "открытые" письма, публикуемые в печатном издании, определенном Собранием представителей.</w:t>
      </w:r>
    </w:p>
    <w:p w:rsidR="000B5C6E" w:rsidRPr="007E0287" w:rsidRDefault="000B5C6E" w:rsidP="000B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b/>
          <w:sz w:val="24"/>
          <w:szCs w:val="24"/>
        </w:rPr>
        <w:t>8. В</w:t>
      </w:r>
      <w:r w:rsidR="007E0287">
        <w:rPr>
          <w:rFonts w:ascii="Times New Roman" w:eastAsia="Times New Roman" w:hAnsi="Times New Roman" w:cs="Times New Roman"/>
          <w:b/>
          <w:sz w:val="24"/>
          <w:szCs w:val="24"/>
        </w:rPr>
        <w:t>несение проектов правовых актов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8.1. Проекты нормативных правовых актов (решений) Собрания представителей вносятся в Собрание представителей субъектами прав правотворческой инициативы.  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8.2. Правом правотворческой инициативы обладают глава муниципального образования – председатель Собрания, депутаты Собрания представителей, глава администрации Дигорского района, органы территориального самоуправления, население </w:t>
      </w:r>
      <w:proofErr w:type="spellStart"/>
      <w:r w:rsidRPr="007E0287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Start"/>
      <w:r w:rsidRPr="007E02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E0287">
        <w:rPr>
          <w:rFonts w:ascii="Times New Roman" w:eastAsia="Times New Roman" w:hAnsi="Times New Roman" w:cs="Times New Roman"/>
          <w:sz w:val="24"/>
          <w:szCs w:val="24"/>
        </w:rPr>
        <w:t>епутаты</w:t>
      </w:r>
      <w:proofErr w:type="spellEnd"/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 реализуют право правотворческой инициативы через постоянные комиссии Собрания представителей совместно с другими депутатами или единолично.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Реализация права правотворческой инициативы населением района и органами территориального общественного самоуправления осуществляется в порядке, установленном Уставом Дигорского  района и решением Собрания представителей.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287">
        <w:rPr>
          <w:rFonts w:ascii="Times New Roman" w:eastAsia="Times New Roman" w:hAnsi="Times New Roman" w:cs="Times New Roman"/>
          <w:sz w:val="24"/>
          <w:szCs w:val="24"/>
        </w:rPr>
        <w:t>Проекты решений, исходящие от государственных органов, общественных объединений, организаций, не обладающих правом правотворческой инициативы, могут быть внесены в Собрание представителей через соответствующих субъектов права правотворческой инициативы.</w:t>
      </w:r>
      <w:proofErr w:type="gramEnd"/>
    </w:p>
    <w:p w:rsidR="000B5C6E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8.3. Субъект права правотворческой инициативы может в любое время отозвать внесенный им в Собрание представителей письменное заявление об этом.</w:t>
      </w:r>
    </w:p>
    <w:p w:rsidR="007E0287" w:rsidRDefault="007E0287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287" w:rsidRPr="007E0287" w:rsidRDefault="007E0287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C6E" w:rsidRPr="007E0287" w:rsidRDefault="000B5C6E" w:rsidP="000B5C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proofErr w:type="spellStart"/>
      <w:r w:rsidRPr="007E0287">
        <w:rPr>
          <w:rFonts w:ascii="Times New Roman" w:eastAsia="Times New Roman" w:hAnsi="Times New Roman" w:cs="Times New Roman"/>
          <w:b/>
          <w:sz w:val="24"/>
          <w:szCs w:val="24"/>
        </w:rPr>
        <w:t>Общерайонное</w:t>
      </w:r>
      <w:proofErr w:type="spellEnd"/>
      <w:r w:rsidRPr="007E028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обсуждение проектов решений</w:t>
      </w:r>
    </w:p>
    <w:p w:rsidR="000B5C6E" w:rsidRPr="007E0287" w:rsidRDefault="007E0287" w:rsidP="000B5C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Собрания представителей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9.1. Проект нормативного правового акта (решения) Собрания представителей может быть вынесен на </w:t>
      </w:r>
      <w:proofErr w:type="spellStart"/>
      <w:r w:rsidRPr="007E0287">
        <w:rPr>
          <w:rFonts w:ascii="Times New Roman" w:eastAsia="Times New Roman" w:hAnsi="Times New Roman" w:cs="Times New Roman"/>
          <w:sz w:val="24"/>
          <w:szCs w:val="24"/>
        </w:rPr>
        <w:t>общерайонное</w:t>
      </w:r>
      <w:proofErr w:type="spellEnd"/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 обсуждение Собранием представителей. В этом случае проект публикуется в районной газете с указанием срока подачи предложений по проекту и адреса, по которому должны направляться предложения.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9.2. Информация о результатах </w:t>
      </w:r>
      <w:proofErr w:type="spellStart"/>
      <w:r w:rsidRPr="007E0287">
        <w:rPr>
          <w:rFonts w:ascii="Times New Roman" w:eastAsia="Times New Roman" w:hAnsi="Times New Roman" w:cs="Times New Roman"/>
          <w:sz w:val="24"/>
          <w:szCs w:val="24"/>
        </w:rPr>
        <w:t>общерайонного</w:t>
      </w:r>
      <w:proofErr w:type="spellEnd"/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 обсуждения подлежит опубликованию в районной газете.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9.3. Проект Устава Дигорского района, проект решения о внесении изменений и дополнений в Устав Дигорского района не </w:t>
      </w:r>
      <w:proofErr w:type="gramStart"/>
      <w:r w:rsidRPr="007E028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E0287">
        <w:rPr>
          <w:rFonts w:ascii="Times New Roman" w:eastAsia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 Дигорского района, внесении изменений и дополнений в Устав Дигорского района подлежат официальному опубликованию с одновременным опубликованием установленного Собранием представителей порядка учета предложений по проекту указанного Устава, проекта решения о внесении изменений и дополнений в Устав Дигорского района, а также порядка участия граждан в его обсуждении.</w:t>
      </w:r>
    </w:p>
    <w:p w:rsidR="000B5C6E" w:rsidRPr="007E0287" w:rsidRDefault="000B5C6E" w:rsidP="000B5C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b/>
          <w:sz w:val="24"/>
          <w:szCs w:val="24"/>
        </w:rPr>
        <w:t xml:space="preserve">10. Взаимодействие Собрания представителей </w:t>
      </w:r>
    </w:p>
    <w:p w:rsidR="000B5C6E" w:rsidRPr="007E0287" w:rsidRDefault="000B5C6E" w:rsidP="000B5C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b/>
          <w:sz w:val="24"/>
          <w:szCs w:val="24"/>
        </w:rPr>
        <w:t>с администрацией Дигорского района.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10.1. При осуществлении своих полномочий Собрание представителей не вмешивается в исполнительно-распорядительную деятельность администрации Дигорского района.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10.2. В ходе заседания Собрание представителей по вопросам своей деятельности вправе дать поручение администрации Дигорского района, ее структурным подразделениям и должностным лицам в пределах их компетенции.</w:t>
      </w:r>
    </w:p>
    <w:p w:rsidR="000B5C6E" w:rsidRPr="007E0287" w:rsidRDefault="000B5C6E" w:rsidP="000B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b/>
          <w:sz w:val="24"/>
          <w:szCs w:val="24"/>
        </w:rPr>
        <w:t>11. Обеспечение деятельности Собрания представителей.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11.1. Финансирование Собрания представителей осуществляется за счет средств местного бюджета, предусматриваемых отдельной строкой в районном бюджете.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Денежное содержание депутату, осуществляющему свои обязанности на постоянной основе, выплачивается за счет средств районного бюджета.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11.2. Обеспечение деятельности Собрания представителей осуществляется администрацией Дигорского района в пределах средств, предусмотренных в районном бюджете на содержание Собрания представителей Дигорского района.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11.3. Администрация Дигорского района в лице своих структурных образований содействует в правовом, материально-техническом, хозяйственном и ином обеспечении деятельности Собрания представителей.</w:t>
      </w:r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Администрация Дигорского района обеспечивает:</w:t>
      </w:r>
    </w:p>
    <w:p w:rsidR="007E0287" w:rsidRDefault="000B5C6E" w:rsidP="007E0287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решение хозяйственных вопросов деятельности Собрания представителей: ремонт и техническое обслуживание помещений, организационной и копировально-множительной техники, мебели, инвентаря и т.п.;</w:t>
      </w:r>
    </w:p>
    <w:p w:rsidR="000B5C6E" w:rsidRPr="007E0287" w:rsidRDefault="000B5C6E" w:rsidP="007E0287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техническое наблюдение за использованием компьютерной техники и программного обеспечения Собрания представителей;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11.4. Администрация Дигорского  района оказывает методическую, практическую и иную помощь по вопросам, возникающим в деятельности депутатов и Собрания представителей, предоставляет аналитические материалы.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11.5. Для непосредственного обеспечения деятельности Собрания представителей в структуре управления муниципального образования предусматривается аппарат Главы Дигорского района – Собрания представителей.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lastRenderedPageBreak/>
        <w:t>11.6. Структура Главы Дигорского района - аппарата  Собрания представителей утверждается Решением Собрания представителей. Изменения в структуру вносятся Собранием представителей.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11.7. Штатное расписание  Главы Дигорского района – аппарата Собрания представителей  района утверждается распоряжением (постановлением) Главы Дигорского района.</w:t>
      </w:r>
    </w:p>
    <w:p w:rsidR="000B5C6E" w:rsidRPr="007E0287" w:rsidRDefault="000B5C6E" w:rsidP="007E02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11.8. Основными задачами аппарата Собрания представителей являются создание необходимых условий для эффективной работы Собрания представителей, его структурных подразделений, оказание практической помощи депутатам в осуществлении их полномочий.</w:t>
      </w:r>
    </w:p>
    <w:p w:rsidR="000B5C6E" w:rsidRPr="007E0287" w:rsidRDefault="000B5C6E" w:rsidP="007E02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11.9. В своей деятельности аппарат Собрания представителей руководствуется Конституцией Российской Федерации, федеральными и республиканскими законами, Уставом Дигорского района, Регламентом Собрания представителей, решениями, принимаемыми Собранием представителей и иными муниципальными правовыми актами Собрания представителей.</w:t>
      </w:r>
    </w:p>
    <w:p w:rsidR="000B5C6E" w:rsidRPr="007E0287" w:rsidRDefault="000B5C6E" w:rsidP="007E028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0287">
        <w:rPr>
          <w:rFonts w:ascii="Times New Roman" w:hAnsi="Times New Roman" w:cs="Times New Roman"/>
          <w:sz w:val="24"/>
          <w:szCs w:val="24"/>
        </w:rPr>
        <w:t>11.10. Сотрудники аппарата, замещающие муниципальные должности муниципальной службы, являются муниципальными служащими. В целях технического обеспечения деятельности Собрания представителей в штатное расписание аппарата,   могут включаться должности, не относящиеся к муниципальным должностям муниципальной службы.</w:t>
      </w:r>
    </w:p>
    <w:p w:rsidR="000B5C6E" w:rsidRDefault="000B5C6E" w:rsidP="000B5C6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0B5C6E" w:rsidRPr="007E0287" w:rsidRDefault="000B5C6E" w:rsidP="007E0287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7E02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12. Досрочное прекращение пол</w:t>
      </w:r>
      <w:r w:rsidR="007E0287">
        <w:rPr>
          <w:rFonts w:ascii="Times New Roman" w:eastAsia="Times New Roman" w:hAnsi="Times New Roman" w:cs="Arial"/>
          <w:b/>
          <w:color w:val="000000"/>
          <w:sz w:val="24"/>
          <w:szCs w:val="24"/>
        </w:rPr>
        <w:t>номочий Собрания представителей</w:t>
      </w:r>
    </w:p>
    <w:p w:rsidR="000B5C6E" w:rsidRDefault="000B5C6E" w:rsidP="000B5C6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bookmarkStart w:id="15" w:name="1601"/>
      <w:bookmarkEnd w:id="15"/>
    </w:p>
    <w:p w:rsidR="000B5C6E" w:rsidRPr="007E0287" w:rsidRDefault="000B5C6E" w:rsidP="007E028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Полномочия Собрания представителей могут быть прекращены досрочно в порядке и по основаниям, которые предусмотрены статьей 73 Федерального закона от 06.10.2003 N 131-ФЗ "Об общих принципах организации местного самоуправления в Российской Федерации".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6011"/>
      <w:bookmarkEnd w:id="16"/>
      <w:r w:rsidRPr="007E02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02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028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7E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287">
        <w:rPr>
          <w:rFonts w:ascii="Times New Roman" w:eastAsia="Times New Roman" w:hAnsi="Times New Roman" w:cs="Times New Roman"/>
          <w:sz w:val="24"/>
          <w:szCs w:val="24"/>
        </w:rPr>
        <w:t>Полномочия Собрания представителей также прекращаются:</w:t>
      </w:r>
    </w:p>
    <w:p w:rsidR="000B5C6E" w:rsidRPr="007E0287" w:rsidRDefault="000B5C6E" w:rsidP="007E0287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287">
        <w:rPr>
          <w:rFonts w:ascii="Times New Roman" w:eastAsia="Times New Roman" w:hAnsi="Times New Roman" w:cs="Times New Roman"/>
          <w:sz w:val="24"/>
          <w:szCs w:val="24"/>
        </w:rPr>
        <w:t>по решению Собрания представителей о самороспуске, принятому двумя третями голосов от установленной численности депутатов;</w:t>
      </w:r>
    </w:p>
    <w:p w:rsidR="000B5C6E" w:rsidRPr="007E0287" w:rsidRDefault="000B5C6E" w:rsidP="007E0287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60111"/>
      <w:bookmarkEnd w:id="17"/>
      <w:r w:rsidRPr="007E0287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федеральным законодательством об ответственности представительного органа местного самоуправления перед государством;</w:t>
      </w:r>
    </w:p>
    <w:p w:rsidR="000B5C6E" w:rsidRPr="007E0287" w:rsidRDefault="000B5C6E" w:rsidP="007E0287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60112"/>
      <w:bookmarkEnd w:id="18"/>
      <w:r w:rsidRPr="007E0287">
        <w:rPr>
          <w:rFonts w:ascii="Times New Roman" w:eastAsia="Times New Roman" w:hAnsi="Times New Roman" w:cs="Times New Roman"/>
          <w:sz w:val="24"/>
          <w:szCs w:val="24"/>
        </w:rPr>
        <w:t>в случае вступления в силу решения суда о неправомочности данного состава депутатов Собрания представителей, в том числе в связи со сложением депутатами своих полномочий;</w:t>
      </w:r>
    </w:p>
    <w:p w:rsidR="000B5C6E" w:rsidRPr="007E0287" w:rsidRDefault="000B5C6E" w:rsidP="007E0287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60113"/>
      <w:bookmarkEnd w:id="19"/>
      <w:r w:rsidRPr="007E0287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муниципального образования.</w:t>
      </w:r>
    </w:p>
    <w:p w:rsidR="000B5C6E" w:rsidRPr="007E0287" w:rsidRDefault="000B5C6E" w:rsidP="007E0287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60114"/>
      <w:bookmarkEnd w:id="20"/>
      <w:r w:rsidRPr="007E0287">
        <w:rPr>
          <w:rFonts w:ascii="Times New Roman" w:eastAsia="Times New Roman" w:hAnsi="Times New Roman" w:cs="Times New Roman"/>
          <w:sz w:val="24"/>
          <w:szCs w:val="24"/>
        </w:rPr>
        <w:t>в случае увеличения численности избирателей Дигорского района более чем на 25 процентов, произошедшего вследствие изменения границ Дигорского района.</w:t>
      </w:r>
    </w:p>
    <w:p w:rsidR="000B5C6E" w:rsidRPr="007E0287" w:rsidRDefault="007E0287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602"/>
      <w:bookmarkStart w:id="22" w:name="160115"/>
      <w:bookmarkEnd w:id="21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B5C6E" w:rsidRPr="007E0287">
        <w:rPr>
          <w:rFonts w:ascii="Times New Roman" w:eastAsia="Times New Roman" w:hAnsi="Times New Roman" w:cs="Times New Roman"/>
          <w:sz w:val="24"/>
          <w:szCs w:val="24"/>
        </w:rPr>
        <w:t>2. В случае досрочного прекращения полномочий Собрания представителей, досрочные выборы в указанный представительный орган проводятся в сроки, установленные федеральным законодательством.</w:t>
      </w:r>
    </w:p>
    <w:p w:rsidR="000B5C6E" w:rsidRPr="007E0287" w:rsidRDefault="007E0287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603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12.</w:t>
      </w:r>
      <w:bookmarkStart w:id="24" w:name="_GoBack"/>
      <w:bookmarkEnd w:id="24"/>
      <w:r w:rsidR="000B5C6E" w:rsidRPr="007E0287">
        <w:rPr>
          <w:rFonts w:ascii="Times New Roman" w:eastAsia="Times New Roman" w:hAnsi="Times New Roman" w:cs="Times New Roman"/>
          <w:sz w:val="24"/>
          <w:szCs w:val="24"/>
        </w:rPr>
        <w:t>3. Досрочное прекращение полномочий Собрания представителей влечет досрочное прекращение полномочий его депутатов.</w:t>
      </w:r>
    </w:p>
    <w:p w:rsidR="000B5C6E" w:rsidRPr="007E0287" w:rsidRDefault="000B5C6E" w:rsidP="007E028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300"/>
      <w:bookmarkEnd w:id="25"/>
    </w:p>
    <w:p w:rsidR="000B5C6E" w:rsidRDefault="000B5C6E" w:rsidP="000B5C6E">
      <w:pPr>
        <w:pStyle w:val="11"/>
        <w:shd w:val="clear" w:color="auto" w:fill="auto"/>
        <w:spacing w:before="0"/>
        <w:ind w:left="20" w:right="20" w:firstLine="547"/>
        <w:rPr>
          <w:sz w:val="24"/>
          <w:szCs w:val="24"/>
        </w:rPr>
      </w:pPr>
    </w:p>
    <w:p w:rsidR="000B5C6E" w:rsidRDefault="000B5C6E" w:rsidP="000B5C6E">
      <w:pPr>
        <w:pStyle w:val="11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</w:p>
    <w:p w:rsidR="000B5C6E" w:rsidRDefault="000B5C6E" w:rsidP="000B5C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C6E" w:rsidRDefault="000B5C6E" w:rsidP="000B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C6E" w:rsidRPr="00090B19" w:rsidRDefault="000B5C6E" w:rsidP="004D3A4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A48" w:rsidRDefault="004D3A48" w:rsidP="004D3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3A48" w:rsidSect="005132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C61"/>
    <w:multiLevelType w:val="hybridMultilevel"/>
    <w:tmpl w:val="D35E67A6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79F2"/>
    <w:multiLevelType w:val="hybridMultilevel"/>
    <w:tmpl w:val="3772701A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061"/>
    <w:multiLevelType w:val="hybridMultilevel"/>
    <w:tmpl w:val="D3F26DE8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62E8"/>
    <w:multiLevelType w:val="hybridMultilevel"/>
    <w:tmpl w:val="4350A808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73D02"/>
    <w:multiLevelType w:val="hybridMultilevel"/>
    <w:tmpl w:val="835614B2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F058E"/>
    <w:multiLevelType w:val="multilevel"/>
    <w:tmpl w:val="332C98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110A72"/>
    <w:multiLevelType w:val="hybridMultilevel"/>
    <w:tmpl w:val="AFEC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D3D57"/>
    <w:multiLevelType w:val="hybridMultilevel"/>
    <w:tmpl w:val="CF8A987E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83A71"/>
    <w:multiLevelType w:val="hybridMultilevel"/>
    <w:tmpl w:val="401E144A"/>
    <w:lvl w:ilvl="0" w:tplc="484E27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F09D3"/>
    <w:multiLevelType w:val="hybridMultilevel"/>
    <w:tmpl w:val="2D1AA30A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5129C"/>
    <w:multiLevelType w:val="hybridMultilevel"/>
    <w:tmpl w:val="2E8E6418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96C1A"/>
    <w:multiLevelType w:val="hybridMultilevel"/>
    <w:tmpl w:val="C4FE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D35A2"/>
    <w:multiLevelType w:val="hybridMultilevel"/>
    <w:tmpl w:val="8DD0CDE2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8"/>
    <w:rsid w:val="00081C00"/>
    <w:rsid w:val="000A5B04"/>
    <w:rsid w:val="000B4D06"/>
    <w:rsid w:val="000B5C6E"/>
    <w:rsid w:val="000F1539"/>
    <w:rsid w:val="00133456"/>
    <w:rsid w:val="0021762E"/>
    <w:rsid w:val="003259F8"/>
    <w:rsid w:val="004D3A48"/>
    <w:rsid w:val="0051323A"/>
    <w:rsid w:val="00592773"/>
    <w:rsid w:val="00767CBE"/>
    <w:rsid w:val="007E0287"/>
    <w:rsid w:val="00805D39"/>
    <w:rsid w:val="00823153"/>
    <w:rsid w:val="008D5091"/>
    <w:rsid w:val="00B02128"/>
    <w:rsid w:val="00B534F6"/>
    <w:rsid w:val="00B84E52"/>
    <w:rsid w:val="00C42C68"/>
    <w:rsid w:val="00D05A3C"/>
    <w:rsid w:val="00D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F15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F1539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5">
    <w:name w:val="List Paragraph"/>
    <w:basedOn w:val="a"/>
    <w:uiPriority w:val="34"/>
    <w:qFormat/>
    <w:rsid w:val="004D3A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5C6E"/>
    <w:rPr>
      <w:color w:val="0000FF"/>
      <w:u w:val="single"/>
    </w:rPr>
  </w:style>
  <w:style w:type="character" w:customStyle="1" w:styleId="a7">
    <w:name w:val="Основной текст_"/>
    <w:basedOn w:val="a0"/>
    <w:link w:val="11"/>
    <w:locked/>
    <w:rsid w:val="000B5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B5C6E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0B5C6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1323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F15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F1539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5">
    <w:name w:val="List Paragraph"/>
    <w:basedOn w:val="a"/>
    <w:uiPriority w:val="34"/>
    <w:qFormat/>
    <w:rsid w:val="004D3A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5C6E"/>
    <w:rPr>
      <w:color w:val="0000FF"/>
      <w:u w:val="single"/>
    </w:rPr>
  </w:style>
  <w:style w:type="character" w:customStyle="1" w:styleId="a7">
    <w:name w:val="Основной текст_"/>
    <w:basedOn w:val="a0"/>
    <w:link w:val="11"/>
    <w:locked/>
    <w:rsid w:val="000B5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B5C6E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0B5C6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1323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base.garant.ru/319046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3000/" TargetMode="External"/><Relationship Id="rId12" Type="http://schemas.openxmlformats.org/officeDocument/2006/relationships/hyperlink" Target="http://base.garant.ru/3190519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3190001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92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7177/" TargetMode="External"/><Relationship Id="rId14" Type="http://schemas.openxmlformats.org/officeDocument/2006/relationships/hyperlink" Target="http://base.garant.ru/31904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Agynda</cp:lastModifiedBy>
  <cp:revision>4</cp:revision>
  <cp:lastPrinted>2012-08-09T10:40:00Z</cp:lastPrinted>
  <dcterms:created xsi:type="dcterms:W3CDTF">2013-11-22T20:31:00Z</dcterms:created>
  <dcterms:modified xsi:type="dcterms:W3CDTF">2013-11-23T16:55:00Z</dcterms:modified>
</cp:coreProperties>
</file>