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ОПРОСНЫЙ ЛИСТ</w:t>
      </w:r>
    </w:p>
    <w:p w:rsidR="00804D15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для проведения публичных консультаций 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по </w:t>
      </w:r>
      <w:r w:rsidR="00211D83">
        <w:rPr>
          <w:rFonts w:eastAsia="Times New Roman"/>
          <w:color w:val="111111"/>
          <w:lang w:eastAsia="ru-RU"/>
        </w:rPr>
        <w:t>нормативному правовому акту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684"/>
      </w:tblGrid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jc w:val="center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Постановление главы АМС МО </w:t>
            </w:r>
            <w:r w:rsidR="005018F8">
              <w:rPr>
                <w:rFonts w:eastAsia="Times New Roman"/>
                <w:color w:val="111111"/>
                <w:lang w:eastAsia="ru-RU"/>
              </w:rPr>
              <w:t xml:space="preserve">Дигорский </w:t>
            </w:r>
            <w:r>
              <w:rPr>
                <w:rFonts w:eastAsia="Times New Roman"/>
                <w:color w:val="111111"/>
                <w:lang w:eastAsia="ru-RU"/>
              </w:rPr>
              <w:t xml:space="preserve"> район РСО-Алания</w:t>
            </w:r>
          </w:p>
          <w:p w:rsidR="00F2271A" w:rsidRDefault="00F2271A" w:rsidP="00C71BF0">
            <w:pPr>
              <w:contextualSpacing/>
              <w:jc w:val="center"/>
              <w:rPr>
                <w:szCs w:val="22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D36FC0">
              <w:rPr>
                <w:rFonts w:eastAsia="Times New Roman"/>
                <w:color w:val="111111"/>
                <w:lang w:eastAsia="ru-RU"/>
              </w:rPr>
              <w:t xml:space="preserve">от </w:t>
            </w:r>
            <w:r w:rsidR="00C71631" w:rsidRPr="00C71631">
              <w:rPr>
                <w:rFonts w:eastAsia="Times New Roman"/>
                <w:color w:val="111111"/>
                <w:lang w:eastAsia="ru-RU"/>
              </w:rPr>
              <w:t xml:space="preserve">21.05.2020 г. № 186 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</w:t>
            </w:r>
            <w:proofErr w:type="spellStart"/>
            <w:r w:rsidR="00C71631" w:rsidRPr="00C71631">
              <w:rPr>
                <w:rFonts w:eastAsia="Times New Roman"/>
                <w:color w:val="111111"/>
                <w:lang w:eastAsia="ru-RU"/>
              </w:rPr>
              <w:t>короновирусной</w:t>
            </w:r>
            <w:proofErr w:type="spellEnd"/>
            <w:r w:rsidR="00C71631" w:rsidRPr="00C71631">
              <w:rPr>
                <w:rFonts w:eastAsia="Times New Roman"/>
                <w:color w:val="111111"/>
                <w:lang w:eastAsia="ru-RU"/>
              </w:rPr>
              <w:t xml:space="preserve"> инфекции (COVID-19).</w:t>
            </w:r>
            <w:bookmarkStart w:id="0" w:name="_GoBack"/>
            <w:bookmarkEnd w:id="0"/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jc w:val="center"/>
              <w:rPr>
                <w:rFonts w:eastAsia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111111"/>
                <w:sz w:val="16"/>
                <w:szCs w:val="16"/>
                <w:lang w:eastAsia="ru-RU"/>
              </w:rPr>
              <w:t>(наименование вида документа и его заголовок)</w:t>
            </w:r>
          </w:p>
        </w:tc>
      </w:tr>
    </w:tbl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Контактная </w:t>
      </w:r>
      <w:hyperlink r:id="rId4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информация</w:t>
        </w:r>
      </w:hyperlink>
      <w:r>
        <w:rPr>
          <w:rFonts w:eastAsia="Times New Roman"/>
          <w:color w:val="111111"/>
          <w:lang w:eastAsia="ru-RU"/>
        </w:rPr>
        <w:t xml:space="preserve"> об участнике публичных консультаций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Наименование участника: ____________________________________________ __________________________________________________________________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Сфера деятельности участника:_______________________________________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__________________________________________________________________</w:t>
      </w: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3447"/>
        <w:gridCol w:w="758"/>
        <w:gridCol w:w="1085"/>
        <w:gridCol w:w="4394"/>
      </w:tblGrid>
      <w:tr w:rsidR="00F2271A" w:rsidTr="00F2271A">
        <w:trPr>
          <w:tblCellSpacing w:w="15" w:type="dxa"/>
        </w:trPr>
        <w:tc>
          <w:tcPr>
            <w:tcW w:w="5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Фамилия, имя, отчество контактного лица: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41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Номер контактного телефона: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Адрес электронной почты:</w:t>
            </w: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tabs>
                <w:tab w:val="left" w:pos="3050"/>
              </w:tabs>
              <w:spacing w:after="0"/>
              <w:contextualSpacing/>
              <w:rPr>
                <w:rFonts w:eastAsia="Times New Roman"/>
                <w:color w:val="111111"/>
                <w:lang w:val="en-US" w:eastAsia="ru-RU"/>
              </w:rPr>
            </w:pPr>
            <w:r>
              <w:rPr>
                <w:rFonts w:eastAsia="Times New Roman"/>
                <w:color w:val="111111"/>
                <w:lang w:val="en-US" w:eastAsia="ru-RU"/>
              </w:rPr>
              <w:tab/>
            </w:r>
          </w:p>
        </w:tc>
      </w:tr>
    </w:tbl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Перечень вопросов, 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обсуждаемых в ходе проведения публичных консультаций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684"/>
      </w:tblGrid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1. На </w:t>
            </w:r>
            <w:hyperlink r:id="rId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решение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какой проблемы, на </w:t>
            </w:r>
            <w:hyperlink r:id="rId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Ваш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взгляд, направлено предлагаемое правовое регулирование? Актуальна ли данная </w:t>
            </w:r>
            <w:hyperlink r:id="rId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проблема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сегодня?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2. Насколько корректно разработчик обосновал </w:t>
            </w:r>
            <w:hyperlink r:id="rId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необходимость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правового вмешательства? Насколько </w:t>
            </w:r>
            <w:hyperlink r:id="rId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цель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 xml:space="preserve">предлагаемого правового регулирования соотносится с проблемой, на решение которой оно направлено? Достигнет ли, на Ваш взгляд, предлагаемое </w:t>
            </w:r>
            <w:hyperlink r:id="rId1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правовое регулирование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тех целей, на которые оно направлено?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3. Является ли выбранный </w:t>
            </w:r>
            <w:hyperlink r:id="rId1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вариант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</w:t>
            </w:r>
            <w:hyperlink r:id="rId1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Если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да, выделите те из них, которые, по Вашему мнению, были бы менее затратны </w:t>
            </w:r>
            <w:hyperlink r:id="rId1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и/или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более эффективны.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4. Какие, по Вашей оценке, субъекты предпринимательской и иной </w:t>
            </w:r>
            <w:r>
              <w:rPr>
                <w:rFonts w:eastAsia="Times New Roman"/>
                <w:color w:val="111111"/>
                <w:lang w:eastAsia="ru-RU"/>
              </w:rPr>
              <w:lastRenderedPageBreak/>
              <w:t>экономической деятельности будут затронуты предлагаемым правовым регулированием (по видам субъектов, по отраслям, по кол</w:t>
            </w:r>
            <w:r w:rsidR="00702D99">
              <w:rPr>
                <w:rFonts w:eastAsia="Times New Roman"/>
                <w:color w:val="111111"/>
                <w:lang w:eastAsia="ru-RU"/>
              </w:rPr>
              <w:t xml:space="preserve">ичеству таких субъектов в </w:t>
            </w:r>
            <w:r>
              <w:rPr>
                <w:rFonts w:eastAsia="Times New Roman"/>
                <w:color w:val="111111"/>
                <w:lang w:eastAsia="ru-RU"/>
              </w:rPr>
              <w:t>районе или городе и прочее)?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5. Повлияет ли </w:t>
            </w:r>
            <w:hyperlink r:id="rId1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введение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6. Оцените, насколько полно и точно отражены обязанности, </w:t>
            </w:r>
            <w:hyperlink r:id="rId1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ответственность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7. Существуют ли в предлагаемом правовом регулировании положения, которые необоснованно затрудняют </w:t>
            </w:r>
            <w:hyperlink r:id="rId1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ведение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предпринимательской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имеется ли смысловое </w:t>
            </w:r>
            <w:hyperlink r:id="rId1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противоречие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 целями правового регулирования или существующей проблемой либо </w:t>
            </w:r>
            <w:hyperlink r:id="rId1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положение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не способствует достижению целей регулирования;</w:t>
            </w:r>
          </w:p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имеются ли </w:t>
            </w:r>
            <w:hyperlink r:id="rId1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технические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ошибки;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приводит ли </w:t>
            </w:r>
            <w:hyperlink r:id="rId2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исполнение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положений правового регулирования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устанавливается ли положением необоснованное </w:t>
            </w:r>
            <w:hyperlink r:id="rId2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ограничение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выбора</w:t>
            </w:r>
          </w:p>
          <w:p w:rsidR="00F2271A" w:rsidRDefault="00F2271A" w:rsidP="00F2271A">
            <w:pPr>
              <w:spacing w:after="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субъектами предпринимательской и иной экономической деятельности существующих или возможных поставщиков или потребителей;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</w:t>
            </w:r>
            <w:hyperlink r:id="rId2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государственной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власти и должностных лиц, допускает ли </w:t>
            </w:r>
            <w:hyperlink r:id="rId2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возможность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избирательного применения норм;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lastRenderedPageBreak/>
              <w:t xml:space="preserve">соответствует ли обычаям деловой практики, сложившейся в отрасли, либо существующим международным практикам, используемым в данный </w:t>
            </w:r>
            <w:hyperlink r:id="rId2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момент</w:t>
              </w:r>
            </w:hyperlink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8. К каким последствиям может </w:t>
            </w:r>
            <w:hyperlink r:id="rId2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привести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hyperlink r:id="rId2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принятие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нового правового регулирования в </w:t>
            </w:r>
            <w:hyperlink r:id="rId2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части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невозможности исполнения субъектами предпринимательской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9. Оцените издержки/упущенную выгоду (прямого, административного характера) субъектами предпринимательской и иной экономической деятельности, возникающие при введении предлагаемого регулирования. Отдельно укажите временные </w:t>
            </w:r>
            <w:hyperlink r:id="rId2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издержки</w:t>
              </w:r>
            </w:hyperlink>
            <w:r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color w:val="111111"/>
                <w:lang w:eastAsia="ru-RU"/>
              </w:rPr>
              <w:t xml:space="preserve">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</w:t>
            </w:r>
            <w:hyperlink r:id="rId2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затраты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</w:t>
            </w:r>
            <w:hyperlink r:id="rId3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регулирование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</w:t>
            </w:r>
            <w:hyperlink r:id="rId3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механизм защиты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11. Требуется ли </w:t>
            </w:r>
            <w:hyperlink r:id="rId3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переходный период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для вступления в силу предлагаемого правового регулирования (если да, какова его </w:t>
            </w:r>
            <w:hyperlink r:id="rId3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продолжительность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), какие ограничения по срокам введения нового правового регулирования необходимо </w:t>
            </w:r>
            <w:r>
              <w:rPr>
                <w:rFonts w:eastAsia="Times New Roman"/>
                <w:color w:val="111111"/>
                <w:lang w:eastAsia="ru-RU"/>
              </w:rPr>
              <w:lastRenderedPageBreak/>
              <w:t>учесть?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</w:t>
            </w:r>
            <w:hyperlink r:id="rId3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обоснование</w:t>
              </w:r>
            </w:hyperlink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13. Специальные вопросы, касающиеся конкретных положений и норм рассматриваемого проекта нормативного правового акта, </w:t>
            </w:r>
            <w:hyperlink r:id="rId3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отношение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к которым разработчику необходимо прояснить.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14.Иные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</w:tbl>
    <w:p w:rsidR="00F2271A" w:rsidRDefault="00F2271A" w:rsidP="00F2271A">
      <w:pPr>
        <w:spacing w:before="100" w:beforeAutospacing="1" w:after="100" w:afterAutospacing="1"/>
        <w:contextualSpacing/>
      </w:pPr>
    </w:p>
    <w:p w:rsidR="00F2271A" w:rsidRDefault="00F2271A" w:rsidP="00F2271A">
      <w:pPr>
        <w:contextualSpacing/>
      </w:pPr>
    </w:p>
    <w:p w:rsidR="00F2271A" w:rsidRDefault="00F2271A" w:rsidP="00F2271A">
      <w:pPr>
        <w:contextualSpacing/>
      </w:pPr>
    </w:p>
    <w:p w:rsidR="00FD04AC" w:rsidRDefault="00FD04AC" w:rsidP="00F2271A">
      <w:pPr>
        <w:contextualSpacing/>
      </w:pPr>
    </w:p>
    <w:sectPr w:rsidR="00FD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1A"/>
    <w:rsid w:val="00211D83"/>
    <w:rsid w:val="005018F8"/>
    <w:rsid w:val="00527905"/>
    <w:rsid w:val="006A1AA0"/>
    <w:rsid w:val="00702D99"/>
    <w:rsid w:val="00711982"/>
    <w:rsid w:val="007C5A59"/>
    <w:rsid w:val="00804D15"/>
    <w:rsid w:val="00A562B0"/>
    <w:rsid w:val="00C71631"/>
    <w:rsid w:val="00C71BF0"/>
    <w:rsid w:val="00D36FC0"/>
    <w:rsid w:val="00E26AC4"/>
    <w:rsid w:val="00F2271A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71A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802" TargetMode="External"/><Relationship Id="rId13" Type="http://schemas.openxmlformats.org/officeDocument/2006/relationships/hyperlink" Target="http://dic.academic.ru/dic.nsf/ruwiki/1501546" TargetMode="External"/><Relationship Id="rId18" Type="http://schemas.openxmlformats.org/officeDocument/2006/relationships/hyperlink" Target="http://official.academic.ru/18188/%D0%9F%D0%BE%D0%BB%D0%BE%D0%B6%D0%B5%D0%BD%D0%B8%D0%B5" TargetMode="External"/><Relationship Id="rId26" Type="http://schemas.openxmlformats.org/officeDocument/2006/relationships/hyperlink" Target="http://dic.academic.ru/dic.nsf/business/156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enc_philosophy/6973" TargetMode="External"/><Relationship Id="rId34" Type="http://schemas.openxmlformats.org/officeDocument/2006/relationships/hyperlink" Target="http://dic.academic.ru/dic.nsf/enc_philosophy/847" TargetMode="External"/><Relationship Id="rId7" Type="http://schemas.openxmlformats.org/officeDocument/2006/relationships/hyperlink" Target="http://dic.academic.ru/dic.nsf/enc_philosophy/3096" TargetMode="External"/><Relationship Id="rId12" Type="http://schemas.openxmlformats.org/officeDocument/2006/relationships/hyperlink" Target="http://dic.academic.ru/dic.nsf/ruwiki/1434475" TargetMode="External"/><Relationship Id="rId17" Type="http://schemas.openxmlformats.org/officeDocument/2006/relationships/hyperlink" Target="http://dic.academic.ru/dic.nsf/enc_philosophy/7146" TargetMode="External"/><Relationship Id="rId25" Type="http://schemas.openxmlformats.org/officeDocument/2006/relationships/hyperlink" Target="http://dic.academic.ru/dic.nsf/sea/7182" TargetMode="External"/><Relationship Id="rId33" Type="http://schemas.openxmlformats.org/officeDocument/2006/relationships/hyperlink" Target="http://dic.academic.ru/dic.nsf/fin_enc/171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-volga.complexdoc.ru/2081/%D0%92%D0%95%D0%94%D0%95%D0%9D%D0%98%D0%95" TargetMode="External"/><Relationship Id="rId20" Type="http://schemas.openxmlformats.org/officeDocument/2006/relationships/hyperlink" Target="http://dic.academic.ru/dic.nsf/fin_enc/23542" TargetMode="External"/><Relationship Id="rId29" Type="http://schemas.openxmlformats.org/officeDocument/2006/relationships/hyperlink" Target="http://garant-volga.complexdoc.ru/3288/%D0%97%D0%90%D0%A2%D0%A0%D0%90%D0%A2%D0%AB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2751" TargetMode="External"/><Relationship Id="rId11" Type="http://schemas.openxmlformats.org/officeDocument/2006/relationships/hyperlink" Target="http://garant-volga.complexdoc.ru/256/%D0%B2%D0%B0%D1%80%D0%B8%D0%B0%D0%BD%D1%82" TargetMode="External"/><Relationship Id="rId24" Type="http://schemas.openxmlformats.org/officeDocument/2006/relationships/hyperlink" Target="http://dic.academic.ru/dic.nsf/enc_philosophy/2739" TargetMode="External"/><Relationship Id="rId32" Type="http://schemas.openxmlformats.org/officeDocument/2006/relationships/hyperlink" Target="http://dic.academic.ru/dic.nsf/econ_dict/110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ic.academic.ru/dic.nsf/enc_philosophy/4755" TargetMode="External"/><Relationship Id="rId15" Type="http://schemas.openxmlformats.org/officeDocument/2006/relationships/hyperlink" Target="http://dic.academic.ru/dic.nsf/enc_philosophy/886" TargetMode="External"/><Relationship Id="rId23" Type="http://schemas.openxmlformats.org/officeDocument/2006/relationships/hyperlink" Target="http://dic.academic.ru/dic.nsf/enc_philosophy/1968" TargetMode="External"/><Relationship Id="rId28" Type="http://schemas.openxmlformats.org/officeDocument/2006/relationships/hyperlink" Target="http://garant-volga.complexdoc.ru/612/%D0%B8%D0%B7%D0%B4%D0%B5%D1%80%D0%B6%D0%BA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ic.academic.ru/dic.nsf/fin_enc/16878" TargetMode="External"/><Relationship Id="rId19" Type="http://schemas.openxmlformats.org/officeDocument/2006/relationships/hyperlink" Target="http://dic.academic.ru/dic.nsf/econ_dict/19852" TargetMode="External"/><Relationship Id="rId31" Type="http://schemas.openxmlformats.org/officeDocument/2006/relationships/hyperlink" Target="http://dic.academic.ru/dic.nsf/socio/2131" TargetMode="External"/><Relationship Id="rId4" Type="http://schemas.openxmlformats.org/officeDocument/2006/relationships/hyperlink" Target="http://official.academic.ru/8382/%D0%98%D0%BD%D1%84%D0%BE%D1%80%D0%BC%D0%B0%D1%86%D0%B8%D1%8F" TargetMode="External"/><Relationship Id="rId9" Type="http://schemas.openxmlformats.org/officeDocument/2006/relationships/hyperlink" Target="http://psychology.academic.ru/2846/%D1%86%D0%B5%D0%BB%D1%8C" TargetMode="External"/><Relationship Id="rId14" Type="http://schemas.openxmlformats.org/officeDocument/2006/relationships/hyperlink" Target="http://dic.academic.ru/dic.nsf/enc_philosophy/4192" TargetMode="External"/><Relationship Id="rId22" Type="http://schemas.openxmlformats.org/officeDocument/2006/relationships/hyperlink" Target="http://dic.academic.ru/dic.nsf/fin_enc/18438" TargetMode="External"/><Relationship Id="rId27" Type="http://schemas.openxmlformats.org/officeDocument/2006/relationships/hyperlink" Target="http://dic.academic.ru/dic.nsf/moscow/3497" TargetMode="External"/><Relationship Id="rId30" Type="http://schemas.openxmlformats.org/officeDocument/2006/relationships/hyperlink" Target="http://garant-volga.complexdoc.ru/1638/%D1%80%D0%B5%D0%B3%D1%83%D0%BB%D0%B8%D1%80%D0%BE%D0%B2%D0%B0%D0%BD%D0%B8%D0%B5" TargetMode="External"/><Relationship Id="rId35" Type="http://schemas.openxmlformats.org/officeDocument/2006/relationships/hyperlink" Target="http://dic.academic.ru/dic.nsf/enc_philosophy/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10</cp:revision>
  <dcterms:created xsi:type="dcterms:W3CDTF">2019-10-18T13:14:00Z</dcterms:created>
  <dcterms:modified xsi:type="dcterms:W3CDTF">2021-02-26T08:05:00Z</dcterms:modified>
</cp:coreProperties>
</file>